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R4-2306360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E-meeting</w:t>
      </w:r>
      <w:r>
        <w:rPr>
          <w:rFonts w:hint="eastAsia" w:ascii="Arial" w:hAnsi="Arial" w:eastAsia="MS Mincho" w:cs="Arial"/>
          <w:b/>
          <w:sz w:val="24"/>
          <w:szCs w:val="24"/>
        </w:rPr>
        <w:t>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April 17 – April 26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hAnsi="Arial" w:eastAsia="MS Mincho" w:cs="Arial"/>
          <w:b/>
          <w:sz w:val="24"/>
          <w:szCs w:val="24"/>
        </w:rPr>
        <w:t>20</w:t>
      </w:r>
      <w:r>
        <w:rPr>
          <w:rFonts w:hint="eastAsia" w:ascii="Arial" w:hAnsi="Arial" w:eastAsia="MS Mincho" w:cs="Arial"/>
          <w:b/>
          <w:sz w:val="24"/>
          <w:szCs w:val="24"/>
        </w:rPr>
        <w:t>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WF on </w:t>
      </w:r>
      <w:r>
        <w:rPr>
          <w:rFonts w:hint="eastAsia" w:ascii="Arial" w:hAnsi="Arial" w:cs="Arial"/>
          <w:sz w:val="22"/>
          <w:lang w:val="en-US" w:eastAsia="zh-CN"/>
        </w:rPr>
        <w:t>NCR-MT</w:t>
      </w:r>
      <w:r>
        <w:rPr>
          <w:rFonts w:ascii="Arial" w:hAnsi="Arial" w:cs="Arial"/>
          <w:sz w:val="22"/>
          <w:lang w:eastAsia="zh-CN"/>
        </w:rPr>
        <w:t xml:space="preserve"> RRM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ascii="Arial" w:hAnsi="Arial" w:cs="Arial"/>
          <w:sz w:val="22"/>
          <w:lang w:eastAsia="zh-CN"/>
        </w:rPr>
        <w:t>5.29.7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Agreement reached in 1</w:t>
      </w:r>
      <w:r>
        <w:rPr>
          <w:rFonts w:hint="eastAsia"/>
          <w:sz w:val="28"/>
          <w:szCs w:val="28"/>
          <w:highlight w:val="none"/>
          <w:vertAlign w:val="superscript"/>
          <w:lang w:val="en-US" w:eastAsia="zh-CN"/>
        </w:rPr>
        <w:t>st</w:t>
      </w:r>
      <w:r>
        <w:rPr>
          <w:rFonts w:hint="eastAsia"/>
          <w:sz w:val="28"/>
          <w:szCs w:val="28"/>
          <w:highlight w:val="none"/>
          <w:lang w:val="en-US" w:eastAsia="zh-CN"/>
        </w:rPr>
        <w:t xml:space="preserve"> round</w:t>
      </w:r>
    </w:p>
    <w:p>
      <w:pPr>
        <w:pStyle w:val="77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/>
          <w:color w:val="0070C0"/>
          <w:highlight w:val="none"/>
          <w:u w:val="single"/>
          <w:lang w:val="en-US" w:eastAsia="zh-CN"/>
        </w:rPr>
      </w:pP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1-2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 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R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andom access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0070C0"/>
          <w:highlight w:val="none"/>
          <w:lang w:val="en-US" w:eastAsia="zh-CN"/>
        </w:rPr>
      </w:pPr>
      <w:r>
        <w:rPr>
          <w:rFonts w:eastAsiaTheme="minorEastAsia"/>
          <w:i/>
          <w:color w:val="0070C0"/>
          <w:highlight w:val="none"/>
          <w:lang w:val="en-US" w:eastAsia="zh-CN"/>
        </w:rPr>
        <w:t>Recommendations</w:t>
      </w:r>
      <w:r>
        <w:rPr>
          <w:rFonts w:hint="eastAsia" w:eastAsiaTheme="minorEastAsia"/>
          <w:i/>
          <w:color w:val="0070C0"/>
          <w:highlight w:val="none"/>
          <w:lang w:val="en-US" w:eastAsia="zh-CN"/>
        </w:rPr>
        <w:t xml:space="preserve"> WF: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color w:val="0070C0"/>
          <w:highlight w:val="none"/>
          <w:lang w:val="en-US" w:eastAsia="zh-CN"/>
        </w:rPr>
      </w:pPr>
      <w:r>
        <w:rPr>
          <w:rFonts w:hint="eastAsia" w:eastAsiaTheme="minorEastAsia"/>
          <w:iCs/>
          <w:color w:val="0070C0"/>
          <w:highlight w:val="none"/>
          <w:lang w:val="en-US" w:eastAsia="zh-CN"/>
        </w:rPr>
        <w:t xml:space="preserve">Only define the 4 step RACH for NCR-MT. </w:t>
      </w:r>
    </w:p>
    <w:p>
      <w:pPr>
        <w:pStyle w:val="87"/>
        <w:spacing w:after="120"/>
        <w:ind w:firstLine="0" w:firstLineChars="0"/>
        <w:rPr>
          <w:rFonts w:eastAsiaTheme="minorEastAsia"/>
          <w:color w:val="0070C0"/>
          <w:highlight w:val="none"/>
          <w:lang w:val="en-US" w:eastAsia="zh-CN"/>
        </w:rPr>
      </w:pPr>
    </w:p>
    <w:p>
      <w:pPr>
        <w:pStyle w:val="77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/>
          <w:color w:val="0070C0"/>
          <w:highlight w:val="none"/>
          <w:u w:val="single"/>
          <w:lang w:val="en-US" w:eastAsia="zh-CN"/>
        </w:rPr>
      </w:pP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2-2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 the gradual timing adjustment requirement Tp and Tq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0070C0"/>
          <w:highlight w:val="none"/>
          <w:lang w:val="en-US" w:eastAsia="zh-CN"/>
        </w:rPr>
      </w:pPr>
      <w:r>
        <w:rPr>
          <w:rFonts w:eastAsiaTheme="minorEastAsia"/>
          <w:i/>
          <w:color w:val="0070C0"/>
          <w:highlight w:val="none"/>
          <w:lang w:val="en-US" w:eastAsia="zh-CN"/>
        </w:rPr>
        <w:t>Recommendations</w:t>
      </w:r>
      <w:r>
        <w:rPr>
          <w:rFonts w:hint="eastAsia" w:eastAsiaTheme="minorEastAsia"/>
          <w:i/>
          <w:color w:val="0070C0"/>
          <w:highlight w:val="none"/>
          <w:lang w:val="en-US" w:eastAsia="zh-CN"/>
        </w:rPr>
        <w:t xml:space="preserve"> WF: 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0070C0"/>
          <w:highlight w:val="none"/>
          <w:lang w:val="en-US" w:eastAsia="zh-CN"/>
        </w:rPr>
      </w:pPr>
      <w:r>
        <w:rPr>
          <w:rFonts w:hint="eastAsia" w:eastAsiaTheme="minorEastAsia"/>
          <w:iCs/>
          <w:color w:val="0070C0"/>
          <w:highlight w:val="none"/>
          <w:lang w:val="en-US" w:eastAsia="zh-CN"/>
        </w:rPr>
        <w:t>Reuse IAB-MT gradual timing adjustment requirement Tp and Tq;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color w:val="0070C0"/>
          <w:highlight w:val="none"/>
          <w:lang w:val="en-US" w:eastAsia="zh-CN"/>
        </w:rPr>
      </w:pPr>
      <w:r>
        <w:rPr>
          <w:rFonts w:hint="eastAsia" w:eastAsiaTheme="minorEastAsia"/>
          <w:iCs/>
          <w:color w:val="0070C0"/>
          <w:highlight w:val="none"/>
          <w:lang w:val="en-US" w:eastAsia="zh-CN"/>
        </w:rPr>
        <w:t>The requirement is applicable for LA NCR-MT only.</w:t>
      </w:r>
    </w:p>
    <w:p>
      <w:pPr>
        <w:pStyle w:val="87"/>
        <w:spacing w:after="120"/>
        <w:ind w:firstLine="0" w:firstLineChars="0"/>
        <w:rPr>
          <w:rFonts w:eastAsiaTheme="minorEastAsia"/>
          <w:iCs/>
          <w:color w:val="0070C0"/>
          <w:highlight w:val="none"/>
          <w:lang w:val="en-US" w:eastAsia="zh-CN"/>
        </w:rPr>
      </w:pPr>
    </w:p>
    <w:p>
      <w:pPr>
        <w:pStyle w:val="77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/>
          <w:b/>
          <w:color w:val="0070C0"/>
          <w:highlight w:val="none"/>
          <w:u w:val="single"/>
          <w:lang w:val="en-US" w:eastAsia="zh-CN"/>
        </w:rPr>
      </w:pP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2-4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 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TA adjustment accuracy requirement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0070C0"/>
          <w:highlight w:val="none"/>
          <w:lang w:val="en-US" w:eastAsia="zh-CN"/>
        </w:rPr>
      </w:pPr>
      <w:r>
        <w:rPr>
          <w:rFonts w:eastAsiaTheme="minorEastAsia"/>
          <w:i/>
          <w:color w:val="0070C0"/>
          <w:highlight w:val="none"/>
          <w:lang w:val="en-US" w:eastAsia="zh-CN"/>
        </w:rPr>
        <w:t>Recommendations</w:t>
      </w:r>
      <w:r>
        <w:rPr>
          <w:rFonts w:hint="eastAsia" w:eastAsiaTheme="minorEastAsia"/>
          <w:i/>
          <w:color w:val="0070C0"/>
          <w:highlight w:val="none"/>
          <w:lang w:val="en-US" w:eastAsia="zh-CN"/>
        </w:rPr>
        <w:t xml:space="preserve"> WF: 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color w:val="0070C0"/>
          <w:highlight w:val="none"/>
          <w:lang w:val="en-US" w:eastAsia="zh-CN" w:bidi="ar"/>
        </w:rPr>
      </w:pPr>
      <w:r>
        <w:rPr>
          <w:rFonts w:hint="eastAsia" w:eastAsiaTheme="minorEastAsia"/>
          <w:iCs/>
          <w:color w:val="0070C0"/>
          <w:highlight w:val="none"/>
          <w:lang w:val="en-US" w:eastAsia="zh-CN" w:bidi="ar"/>
        </w:rPr>
        <w:t>reuse the same requirement as Rel-16 IAB-MT.</w:t>
      </w:r>
    </w:p>
    <w:p>
      <w:pPr>
        <w:pStyle w:val="87"/>
        <w:spacing w:after="120"/>
        <w:ind w:firstLine="0" w:firstLineChars="0"/>
        <w:rPr>
          <w:rFonts w:eastAsiaTheme="minorEastAsia"/>
          <w:iCs/>
          <w:color w:val="0070C0"/>
          <w:highlight w:val="none"/>
          <w:lang w:val="en-US" w:eastAsia="zh-CN"/>
        </w:rPr>
      </w:pPr>
    </w:p>
    <w:p>
      <w:pPr>
        <w:pStyle w:val="77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/>
          <w:b/>
          <w:color w:val="0070C0"/>
          <w:highlight w:val="none"/>
          <w:u w:val="single"/>
          <w:lang w:val="en-US" w:eastAsia="zh-CN"/>
        </w:rPr>
      </w:pP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3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-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1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 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Active BWP switching requirement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0070C0"/>
          <w:highlight w:val="none"/>
          <w:lang w:val="en-US" w:eastAsia="zh-CN"/>
        </w:rPr>
      </w:pPr>
      <w:r>
        <w:rPr>
          <w:rFonts w:eastAsiaTheme="minorEastAsia"/>
          <w:i/>
          <w:color w:val="0070C0"/>
          <w:highlight w:val="none"/>
          <w:lang w:val="en-US" w:eastAsia="zh-CN"/>
        </w:rPr>
        <w:t>Recommendations</w:t>
      </w:r>
      <w:r>
        <w:rPr>
          <w:rFonts w:hint="eastAsia" w:eastAsiaTheme="minorEastAsia"/>
          <w:i/>
          <w:color w:val="0070C0"/>
          <w:highlight w:val="none"/>
          <w:lang w:val="en-US" w:eastAsia="zh-CN"/>
        </w:rPr>
        <w:t xml:space="preserve"> WF: 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color w:val="0070C0"/>
          <w:highlight w:val="none"/>
          <w:lang w:val="en-US" w:eastAsia="zh-CN"/>
        </w:rPr>
      </w:pPr>
      <w:r>
        <w:rPr>
          <w:rFonts w:hint="eastAsia" w:eastAsiaTheme="minorEastAsia"/>
          <w:iCs/>
          <w:color w:val="0070C0"/>
          <w:highlight w:val="none"/>
          <w:lang w:val="en-US" w:eastAsia="zh-CN"/>
        </w:rPr>
        <w:t>Not to define active BWP switching requirement for NCR-MT.</w:t>
      </w:r>
    </w:p>
    <w:p>
      <w:pPr>
        <w:pStyle w:val="77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/>
          <w:b/>
          <w:color w:val="0070C0"/>
          <w:highlight w:val="none"/>
          <w:u w:val="single"/>
          <w:lang w:val="en-US" w:eastAsia="zh-CN"/>
        </w:rPr>
      </w:pPr>
    </w:p>
    <w:p>
      <w:pPr>
        <w:pStyle w:val="77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/>
          <w:b/>
          <w:color w:val="0070C0"/>
          <w:highlight w:val="none"/>
          <w:u w:val="single"/>
          <w:lang w:val="en-US" w:eastAsia="zh-CN"/>
        </w:rPr>
      </w:pP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4-1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 adaptive beamforming for NCR-MT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0070C0"/>
          <w:highlight w:val="none"/>
          <w:lang w:val="en-US" w:eastAsia="zh-CN"/>
        </w:rPr>
      </w:pPr>
      <w:r>
        <w:rPr>
          <w:rFonts w:eastAsiaTheme="minorEastAsia"/>
          <w:i/>
          <w:color w:val="0070C0"/>
          <w:highlight w:val="none"/>
          <w:lang w:val="en-US" w:eastAsia="zh-CN"/>
        </w:rPr>
        <w:t>Recommendations</w:t>
      </w:r>
      <w:r>
        <w:rPr>
          <w:rFonts w:hint="eastAsia" w:eastAsiaTheme="minorEastAsia"/>
          <w:i/>
          <w:color w:val="0070C0"/>
          <w:highlight w:val="none"/>
          <w:lang w:val="en-US" w:eastAsia="zh-CN"/>
        </w:rPr>
        <w:t xml:space="preserve"> WF: 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color w:val="0070C0"/>
          <w:highlight w:val="none"/>
          <w:lang w:val="en-US" w:eastAsia="zh-CN"/>
        </w:rPr>
      </w:pPr>
      <w:r>
        <w:rPr>
          <w:rFonts w:hint="eastAsia" w:eastAsiaTheme="minorEastAsia"/>
          <w:iCs/>
          <w:color w:val="0070C0"/>
          <w:highlight w:val="none"/>
          <w:lang w:val="en-US" w:eastAsia="zh-CN"/>
        </w:rPr>
        <w:t>Not to define the TCI switching and uplink spatial relationship switching requirement for WA NCR-MT</w:t>
      </w:r>
    </w:p>
    <w:p>
      <w:pPr>
        <w:pStyle w:val="87"/>
        <w:spacing w:after="120"/>
        <w:ind w:firstLine="0" w:firstLineChars="0"/>
        <w:rPr>
          <w:rFonts w:eastAsiaTheme="minorEastAsia"/>
          <w:iCs/>
          <w:color w:val="0070C0"/>
          <w:highlight w:val="none"/>
          <w:lang w:val="en-US" w:eastAsia="zh-CN"/>
        </w:rPr>
      </w:pPr>
    </w:p>
    <w:p>
      <w:pPr>
        <w:pStyle w:val="77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/>
          <w:b/>
          <w:color w:val="0070C0"/>
          <w:highlight w:val="none"/>
          <w:u w:val="single"/>
          <w:lang w:val="en-US" w:eastAsia="zh-CN"/>
        </w:rPr>
      </w:pP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6-1:  CA/DC related RRM requirements for NCR-MT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0070C0"/>
          <w:highlight w:val="none"/>
          <w:lang w:val="en-US" w:eastAsia="zh-CN"/>
        </w:rPr>
      </w:pPr>
      <w:r>
        <w:rPr>
          <w:rFonts w:eastAsiaTheme="minorEastAsia"/>
          <w:i/>
          <w:color w:val="0070C0"/>
          <w:highlight w:val="none"/>
          <w:lang w:val="en-US" w:eastAsia="zh-CN"/>
        </w:rPr>
        <w:t>Recommendations</w:t>
      </w:r>
      <w:r>
        <w:rPr>
          <w:rFonts w:hint="eastAsia" w:eastAsiaTheme="minorEastAsia"/>
          <w:i/>
          <w:color w:val="0070C0"/>
          <w:highlight w:val="none"/>
          <w:lang w:val="en-US" w:eastAsia="zh-CN"/>
        </w:rPr>
        <w:t xml:space="preserve"> WF: </w:t>
      </w:r>
    </w:p>
    <w:p>
      <w:pPr>
        <w:pStyle w:val="87"/>
        <w:spacing w:after="120"/>
        <w:ind w:firstLine="0" w:firstLineChars="0"/>
        <w:rPr>
          <w:rFonts w:eastAsiaTheme="minorEastAsia"/>
          <w:iCs/>
          <w:color w:val="0070C0"/>
          <w:highlight w:val="none"/>
          <w:lang w:val="en-US" w:eastAsia="zh-CN"/>
        </w:rPr>
      </w:pPr>
      <w:r>
        <w:rPr>
          <w:rFonts w:hint="eastAsia" w:eastAsiaTheme="minorEastAsia"/>
          <w:iCs/>
          <w:color w:val="0070C0"/>
          <w:highlight w:val="none"/>
          <w:lang w:val="en-US" w:eastAsia="zh-CN"/>
        </w:rPr>
        <w:t>Not to define CA/DC related RRM requirement for NCR-MT</w:t>
      </w:r>
    </w:p>
    <w:p>
      <w:pPr>
        <w:pStyle w:val="87"/>
        <w:spacing w:after="120"/>
        <w:ind w:firstLine="0" w:firstLineChars="0"/>
        <w:rPr>
          <w:rFonts w:eastAsiaTheme="minorEastAsia"/>
          <w:iCs/>
          <w:color w:val="0070C0"/>
          <w:highlight w:val="none"/>
          <w:lang w:val="en-US" w:eastAsia="zh-CN"/>
        </w:rPr>
      </w:pPr>
    </w:p>
    <w:p>
      <w:pPr>
        <w:pStyle w:val="2"/>
        <w:rPr>
          <w:rFonts w:hint="eastAsia" w:cs="Times New Roman"/>
          <w:sz w:val="28"/>
          <w:szCs w:val="28"/>
          <w:highlight w:val="none"/>
          <w:lang w:val="en-US" w:eastAsia="zh-CN"/>
        </w:rPr>
      </w:pPr>
      <w:r>
        <w:rPr>
          <w:rFonts w:hint="eastAsia" w:cs="Times New Roman"/>
          <w:sz w:val="28"/>
          <w:szCs w:val="28"/>
          <w:highlight w:val="none"/>
          <w:lang w:val="en-US" w:eastAsia="zh-CN"/>
        </w:rPr>
        <w:t>Agreement reached in 2nd round</w:t>
      </w:r>
    </w:p>
    <w:p>
      <w:pPr>
        <w:pStyle w:val="77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/>
          <w:color w:val="0070C0"/>
          <w:highlight w:val="none"/>
          <w:u w:val="single"/>
          <w:lang w:val="en-US" w:eastAsia="zh-CN"/>
        </w:rPr>
      </w:pP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1-2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 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R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andom access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hint="eastAsia" w:eastAsiaTheme="minorEastAsia"/>
          <w:i/>
          <w:color w:val="0070C0"/>
          <w:highlight w:val="none"/>
          <w:lang w:val="en-US" w:eastAsia="zh-CN"/>
        </w:rPr>
      </w:pPr>
      <w:r>
        <w:rPr>
          <w:rFonts w:hint="eastAsia" w:eastAsiaTheme="minorEastAsia"/>
          <w:i/>
          <w:color w:val="0070C0"/>
          <w:highlight w:val="none"/>
          <w:lang w:val="en-US" w:eastAsia="zh-CN"/>
        </w:rPr>
        <w:t>Agreement: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0070C0"/>
          <w:highlight w:val="none"/>
          <w:lang w:val="en-US" w:eastAsia="zh-CN"/>
        </w:rPr>
      </w:pPr>
      <w:r>
        <w:rPr>
          <w:rFonts w:hint="eastAsia" w:eastAsiaTheme="minorEastAsia"/>
          <w:i/>
          <w:color w:val="0070C0"/>
          <w:highlight w:val="none"/>
          <w:lang w:val="en-US" w:eastAsia="zh-CN"/>
        </w:rPr>
        <w:t xml:space="preserve">To define 4 step rach for LA NCR-MT only and without RA requirement for WA NCR-MT. </w:t>
      </w:r>
    </w:p>
    <w:p>
      <w:pPr>
        <w:pStyle w:val="87"/>
        <w:spacing w:after="120"/>
        <w:ind w:firstLine="0" w:firstLineChars="0"/>
        <w:rPr>
          <w:rFonts w:eastAsiaTheme="minorEastAsia"/>
          <w:iCs/>
          <w:color w:val="0070C0"/>
          <w:highlight w:val="none"/>
          <w:lang w:val="en-US" w:eastAsia="zh-CN"/>
        </w:rPr>
      </w:pPr>
    </w:p>
    <w:p>
      <w:pPr>
        <w:pStyle w:val="77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eastAsiaTheme="minorEastAsia"/>
          <w:iCs/>
          <w:color w:val="0070C0"/>
          <w:highlight w:val="none"/>
          <w:lang w:val="en-US" w:eastAsia="zh-CN"/>
        </w:rPr>
      </w:pP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2-3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 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the timer accuracy requirement 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hint="eastAsia" w:eastAsiaTheme="minorEastAsia"/>
          <w:i/>
          <w:color w:val="0070C0"/>
          <w:highlight w:val="none"/>
          <w:lang w:val="en-US" w:eastAsia="zh-CN"/>
        </w:rPr>
      </w:pPr>
      <w:r>
        <w:rPr>
          <w:rFonts w:hint="eastAsia" w:eastAsiaTheme="minorEastAsia"/>
          <w:i/>
          <w:color w:val="0070C0"/>
          <w:highlight w:val="none"/>
          <w:lang w:val="en-US" w:eastAsia="zh-CN"/>
        </w:rPr>
        <w:t>Agreement: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420" w:hanging="420"/>
        <w:textAlignment w:val="baseline"/>
        <w:rPr>
          <w:rFonts w:eastAsiaTheme="minorEastAsia"/>
          <w:color w:val="0070C0"/>
          <w:highlight w:val="none"/>
          <w:lang w:val="en-US" w:eastAsia="zh-CN"/>
        </w:rPr>
      </w:pPr>
      <w:r>
        <w:rPr>
          <w:rFonts w:eastAsiaTheme="minorEastAsia"/>
          <w:color w:val="0070C0"/>
          <w:highlight w:val="none"/>
          <w:lang w:val="en-US" w:eastAsia="zh-CN"/>
        </w:rPr>
        <w:t>to define timer accuracy requirement only for LA NCR-MT.</w:t>
      </w:r>
    </w:p>
    <w:p>
      <w:pPr>
        <w:pStyle w:val="87"/>
        <w:numPr>
          <w:ilvl w:val="0"/>
          <w:numId w:val="3"/>
        </w:numPr>
        <w:spacing w:after="120"/>
        <w:ind w:left="420" w:hanging="420" w:firstLineChars="0"/>
        <w:rPr>
          <w:rFonts w:eastAsiaTheme="minorEastAsia"/>
          <w:iCs/>
          <w:color w:val="0070C0"/>
          <w:highlight w:val="none"/>
          <w:lang w:val="en-US" w:eastAsia="zh-CN"/>
        </w:rPr>
      </w:pPr>
      <w:r>
        <w:rPr>
          <w:rFonts w:eastAsiaTheme="minorEastAsia"/>
          <w:color w:val="0070C0"/>
          <w:highlight w:val="none"/>
          <w:lang w:val="en-US" w:eastAsia="zh-CN"/>
        </w:rPr>
        <w:t>The requirement defined in Clause 7.2 of 38.133 can be reused.</w:t>
      </w:r>
    </w:p>
    <w:p>
      <w:pPr>
        <w:pStyle w:val="87"/>
        <w:spacing w:after="120"/>
        <w:ind w:firstLine="0" w:firstLineChars="0"/>
        <w:rPr>
          <w:rFonts w:eastAsiaTheme="minorEastAsia"/>
          <w:iCs/>
          <w:color w:val="0070C0"/>
          <w:highlight w:val="none"/>
          <w:lang w:val="en-US" w:eastAsia="zh-CN"/>
        </w:rPr>
      </w:pPr>
    </w:p>
    <w:p>
      <w:pPr>
        <w:pStyle w:val="77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/>
          <w:b/>
          <w:color w:val="0070C0"/>
          <w:highlight w:val="none"/>
          <w:u w:val="single"/>
          <w:lang w:val="en-US" w:eastAsia="zh-CN"/>
        </w:rPr>
      </w:pP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2-4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 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TA adjustment accuracy requirement </w:t>
      </w:r>
    </w:p>
    <w:p>
      <w:pPr>
        <w:overflowPunct w:val="0"/>
        <w:autoSpaceDE w:val="0"/>
        <w:autoSpaceDN w:val="0"/>
        <w:adjustRightInd w:val="0"/>
        <w:ind w:left="420"/>
        <w:textAlignment w:val="baseline"/>
        <w:rPr>
          <w:rFonts w:hint="eastAsia" w:eastAsiaTheme="minorEastAsia"/>
          <w:i/>
          <w:color w:val="0070C0"/>
          <w:highlight w:val="none"/>
          <w:lang w:val="en-US" w:eastAsia="zh-CN"/>
        </w:rPr>
      </w:pPr>
      <w:r>
        <w:rPr>
          <w:rFonts w:hint="eastAsia" w:eastAsiaTheme="minorEastAsia"/>
          <w:i/>
          <w:color w:val="0070C0"/>
          <w:highlight w:val="none"/>
          <w:lang w:val="en-US" w:eastAsia="zh-CN"/>
        </w:rPr>
        <w:t>Agreement: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420" w:hanging="420" w:firstLineChars="0"/>
        <w:textAlignment w:val="baseline"/>
        <w:rPr>
          <w:rFonts w:eastAsiaTheme="minorEastAsia"/>
          <w:iCs/>
          <w:color w:val="0070C0"/>
          <w:highlight w:val="none"/>
          <w:lang w:val="en-US" w:eastAsia="zh-CN"/>
        </w:rPr>
      </w:pPr>
      <w:r>
        <w:rPr>
          <w:rFonts w:hint="eastAsia" w:eastAsiaTheme="minorEastAsia"/>
          <w:color w:val="0070C0"/>
          <w:highlight w:val="none"/>
          <w:lang w:val="en-US" w:eastAsia="zh-CN"/>
        </w:rPr>
        <w:t>To define the TA adjustment requirement for both WA and LA NCR-MT</w:t>
      </w:r>
    </w:p>
    <w:p>
      <w:pPr>
        <w:pStyle w:val="87"/>
        <w:spacing w:after="120"/>
        <w:ind w:firstLine="0" w:firstLineChars="0"/>
        <w:rPr>
          <w:rFonts w:hint="eastAsia" w:eastAsiaTheme="minorEastAsia"/>
          <w:iCs/>
          <w:color w:val="0070C0"/>
          <w:highlight w:val="none"/>
          <w:lang w:val="en-US" w:eastAsia="zh-CN"/>
        </w:rPr>
      </w:pPr>
    </w:p>
    <w:p>
      <w:pPr>
        <w:pStyle w:val="77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highlight w:val="none"/>
          <w:lang w:val="en-US" w:eastAsia="zh-CN"/>
        </w:rPr>
      </w:pP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4-3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 adaptive beamforming for NCR backhaul link</w:t>
      </w:r>
    </w:p>
    <w:p>
      <w:pPr>
        <w:pStyle w:val="87"/>
        <w:spacing w:after="120"/>
        <w:ind w:firstLine="0" w:firstLineChars="0"/>
        <w:rPr>
          <w:rFonts w:eastAsiaTheme="minorEastAsia"/>
          <w:iCs/>
          <w:color w:val="0070C0"/>
          <w:highlight w:val="none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ind w:left="420"/>
        <w:textAlignment w:val="baseline"/>
        <w:rPr>
          <w:rFonts w:hint="eastAsia" w:eastAsiaTheme="minorEastAsia"/>
          <w:i/>
          <w:color w:val="0070C0"/>
          <w:highlight w:val="none"/>
          <w:lang w:val="en-US" w:eastAsia="zh-CN"/>
        </w:rPr>
      </w:pPr>
      <w:r>
        <w:rPr>
          <w:rFonts w:hint="eastAsia" w:eastAsiaTheme="minorEastAsia"/>
          <w:i/>
          <w:color w:val="0070C0"/>
          <w:highlight w:val="none"/>
          <w:lang w:val="en-US" w:eastAsia="zh-CN"/>
        </w:rPr>
        <w:t>Agreement: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420" w:hanging="420" w:firstLineChars="0"/>
        <w:textAlignment w:val="baseline"/>
        <w:rPr>
          <w:rFonts w:hint="eastAsia" w:eastAsiaTheme="minorEastAsia"/>
          <w:iCs w:val="0"/>
          <w:color w:val="0070C0"/>
          <w:highlight w:val="none"/>
          <w:lang w:val="en-US" w:eastAsia="zh-CN"/>
        </w:rPr>
      </w:pPr>
      <w:r>
        <w:rPr>
          <w:rFonts w:hint="eastAsia" w:eastAsiaTheme="minorEastAsia"/>
          <w:iCs w:val="0"/>
          <w:color w:val="0070C0"/>
          <w:highlight w:val="none"/>
          <w:lang w:val="en-US" w:eastAsia="zh-CN"/>
        </w:rPr>
        <w:t>Not to define the RRM requirement for NCR-Fwd backhual link.</w:t>
      </w:r>
    </w:p>
    <w:p>
      <w:pPr>
        <w:pStyle w:val="87"/>
        <w:spacing w:after="120"/>
        <w:ind w:firstLine="0" w:firstLineChars="0"/>
        <w:rPr>
          <w:rFonts w:eastAsiaTheme="minorEastAsia"/>
          <w:iCs/>
          <w:color w:val="0070C0"/>
          <w:highlight w:val="none"/>
          <w:lang w:val="en-US" w:eastAsia="zh-CN"/>
        </w:rPr>
      </w:pPr>
    </w:p>
    <w:p>
      <w:pPr>
        <w:pStyle w:val="2"/>
        <w:rPr>
          <w:highlight w:val="none"/>
        </w:rPr>
      </w:pPr>
      <w:r>
        <w:rPr>
          <w:rFonts w:hint="eastAsia"/>
          <w:highlight w:val="none"/>
          <w:lang w:val="en-US" w:eastAsia="zh-CN"/>
        </w:rPr>
        <w:t xml:space="preserve">Agreement reached at GTW </w:t>
      </w:r>
    </w:p>
    <w:p>
      <w:pPr>
        <w:spacing w:line="252" w:lineRule="auto"/>
        <w:rPr>
          <w:highlight w:val="none"/>
          <w:u w:val="single"/>
          <w:lang w:val="en-US"/>
        </w:rPr>
      </w:pPr>
      <w:r>
        <w:rPr>
          <w:highlight w:val="none"/>
          <w:u w:val="single"/>
          <w:lang w:val="en-US"/>
        </w:rPr>
        <w:t xml:space="preserve">Issue 1-1: RRC re-establishment </w:t>
      </w:r>
    </w:p>
    <w:p>
      <w:pPr>
        <w:pStyle w:val="87"/>
        <w:numPr>
          <w:ilvl w:val="0"/>
          <w:numId w:val="4"/>
        </w:numPr>
        <w:overflowPunct w:val="0"/>
        <w:autoSpaceDE w:val="0"/>
        <w:autoSpaceDN w:val="0"/>
        <w:adjustRightInd w:val="0"/>
        <w:spacing w:line="252" w:lineRule="auto"/>
        <w:ind w:left="644"/>
        <w:rPr>
          <w:highlight w:val="none"/>
          <w:lang w:eastAsia="ja-JP"/>
        </w:rPr>
      </w:pPr>
      <w:r>
        <w:rPr>
          <w:highlight w:val="none"/>
          <w:lang w:eastAsia="ja-JP"/>
        </w:rPr>
        <w:t>Agreements</w:t>
      </w:r>
    </w:p>
    <w:p>
      <w:pPr>
        <w:pStyle w:val="87"/>
        <w:numPr>
          <w:ilvl w:val="1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highlight w:val="none"/>
          <w:lang w:eastAsia="ja-JP"/>
        </w:rPr>
      </w:pPr>
      <w:r>
        <w:rPr>
          <w:bCs/>
          <w:highlight w:val="none"/>
        </w:rPr>
        <w:t>Define the RRC re-establishment requirement for LA NCR-MT only in Rel-18</w:t>
      </w:r>
    </w:p>
    <w:p>
      <w:pPr>
        <w:spacing w:line="252" w:lineRule="auto"/>
        <w:rPr>
          <w:highlight w:val="none"/>
          <w:u w:val="single"/>
        </w:rPr>
      </w:pPr>
    </w:p>
    <w:p>
      <w:pPr>
        <w:spacing w:line="252" w:lineRule="auto"/>
        <w:rPr>
          <w:highlight w:val="none"/>
          <w:u w:val="single"/>
          <w:lang w:val="en-US"/>
        </w:rPr>
      </w:pPr>
      <w:r>
        <w:rPr>
          <w:highlight w:val="none"/>
          <w:u w:val="single"/>
          <w:lang w:val="en-US"/>
        </w:rPr>
        <w:t>Issue 2-1:  Initial transmit timing requirement Te</w:t>
      </w:r>
    </w:p>
    <w:p>
      <w:pPr>
        <w:pStyle w:val="87"/>
        <w:numPr>
          <w:ilvl w:val="0"/>
          <w:numId w:val="4"/>
        </w:numPr>
        <w:overflowPunct w:val="0"/>
        <w:autoSpaceDE w:val="0"/>
        <w:autoSpaceDN w:val="0"/>
        <w:adjustRightInd w:val="0"/>
        <w:spacing w:line="252" w:lineRule="auto"/>
        <w:ind w:left="644"/>
        <w:rPr>
          <w:highlight w:val="none"/>
          <w:lang w:eastAsia="ja-JP"/>
        </w:rPr>
      </w:pPr>
      <w:r>
        <w:rPr>
          <w:highlight w:val="none"/>
          <w:lang w:eastAsia="ja-JP"/>
        </w:rPr>
        <w:t>Agreements</w:t>
      </w:r>
    </w:p>
    <w:p>
      <w:pPr>
        <w:pStyle w:val="87"/>
        <w:numPr>
          <w:ilvl w:val="1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highlight w:val="none"/>
          <w:lang w:eastAsia="ja-JP"/>
        </w:rPr>
      </w:pPr>
      <w:r>
        <w:rPr>
          <w:bCs/>
          <w:highlight w:val="none"/>
        </w:rPr>
        <w:t>Define Te requirement for WA and LA NCR-MT</w:t>
      </w:r>
    </w:p>
    <w:p>
      <w:pPr>
        <w:spacing w:line="252" w:lineRule="auto"/>
        <w:rPr>
          <w:highlight w:val="none"/>
          <w:lang w:eastAsia="ja-JP"/>
        </w:rPr>
      </w:pPr>
    </w:p>
    <w:p>
      <w:pPr>
        <w:spacing w:line="252" w:lineRule="auto"/>
        <w:rPr>
          <w:highlight w:val="none"/>
          <w:u w:val="single"/>
        </w:rPr>
      </w:pPr>
      <w:r>
        <w:rPr>
          <w:highlight w:val="none"/>
          <w:u w:val="single"/>
        </w:rPr>
        <w:t>Issue 4-1: adaptive beamforming for NCR-MT</w:t>
      </w:r>
    </w:p>
    <w:p>
      <w:pPr>
        <w:pStyle w:val="87"/>
        <w:numPr>
          <w:ilvl w:val="0"/>
          <w:numId w:val="4"/>
        </w:numPr>
        <w:overflowPunct w:val="0"/>
        <w:autoSpaceDE w:val="0"/>
        <w:autoSpaceDN w:val="0"/>
        <w:adjustRightInd w:val="0"/>
        <w:spacing w:line="252" w:lineRule="auto"/>
        <w:ind w:left="644"/>
        <w:rPr>
          <w:highlight w:val="none"/>
          <w:lang w:eastAsia="ja-JP"/>
        </w:rPr>
      </w:pPr>
      <w:r>
        <w:rPr>
          <w:highlight w:val="none"/>
          <w:lang w:eastAsia="ja-JP"/>
        </w:rPr>
        <w:t>Agreements</w:t>
      </w:r>
    </w:p>
    <w:p>
      <w:pPr>
        <w:pStyle w:val="87"/>
        <w:numPr>
          <w:ilvl w:val="1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highlight w:val="none"/>
          <w:lang w:eastAsia="ja-JP"/>
        </w:rPr>
      </w:pPr>
      <w:r>
        <w:rPr>
          <w:highlight w:val="none"/>
        </w:rPr>
        <w:t>Do not define TCI switching and uplink spatial relationship requirements for LA NCR-MT</w:t>
      </w:r>
    </w:p>
    <w:p>
      <w:pPr>
        <w:spacing w:line="252" w:lineRule="auto"/>
        <w:rPr>
          <w:highlight w:val="none"/>
          <w:lang w:eastAsia="ja-JP"/>
        </w:rPr>
      </w:pPr>
    </w:p>
    <w:p>
      <w:pPr>
        <w:rPr>
          <w:highlight w:val="none"/>
          <w:u w:val="single"/>
          <w:lang w:val="en-US"/>
        </w:rPr>
      </w:pPr>
      <w:r>
        <w:rPr>
          <w:highlight w:val="none"/>
          <w:u w:val="single"/>
          <w:lang w:val="en-US"/>
        </w:rPr>
        <w:t>Issue 4-2: adaptive beamforming for NCR access link</w:t>
      </w:r>
    </w:p>
    <w:p>
      <w:pPr>
        <w:pStyle w:val="87"/>
        <w:numPr>
          <w:ilvl w:val="0"/>
          <w:numId w:val="4"/>
        </w:numPr>
        <w:overflowPunct w:val="0"/>
        <w:autoSpaceDE w:val="0"/>
        <w:autoSpaceDN w:val="0"/>
        <w:adjustRightInd w:val="0"/>
        <w:spacing w:line="252" w:lineRule="auto"/>
        <w:ind w:left="644"/>
        <w:rPr>
          <w:highlight w:val="none"/>
          <w:lang w:eastAsia="ja-JP"/>
        </w:rPr>
      </w:pPr>
      <w:r>
        <w:rPr>
          <w:highlight w:val="none"/>
          <w:lang w:eastAsia="ja-JP"/>
        </w:rPr>
        <w:t>Agreements</w:t>
      </w:r>
    </w:p>
    <w:p>
      <w:pPr>
        <w:pStyle w:val="87"/>
        <w:numPr>
          <w:ilvl w:val="1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highlight w:val="none"/>
          <w:lang w:eastAsia="ja-JP"/>
        </w:rPr>
      </w:pPr>
      <w:r>
        <w:rPr>
          <w:rFonts w:eastAsiaTheme="minorEastAsia"/>
          <w:iCs/>
          <w:highlight w:val="none"/>
        </w:rPr>
        <w:t xml:space="preserve">FFS whether to define </w:t>
      </w:r>
      <w:r>
        <w:rPr>
          <w:highlight w:val="none"/>
        </w:rPr>
        <w:t>RRM requirement for NCR-Fwd access link for beam configuration and switching latency.</w:t>
      </w:r>
    </w:p>
    <w:p>
      <w:pPr>
        <w:spacing w:line="252" w:lineRule="auto"/>
        <w:rPr>
          <w:bCs/>
          <w:highlight w:val="none"/>
        </w:rPr>
      </w:pPr>
    </w:p>
    <w:p>
      <w:pPr>
        <w:rPr>
          <w:highlight w:val="none"/>
          <w:u w:val="single"/>
          <w:lang w:val="en-US"/>
        </w:rPr>
      </w:pPr>
      <w:r>
        <w:rPr>
          <w:highlight w:val="none"/>
          <w:u w:val="single"/>
          <w:lang w:val="en-US"/>
        </w:rPr>
        <w:t>Issue 5-1:  BFD/BFR/RLM for NCR-MT</w:t>
      </w:r>
    </w:p>
    <w:p>
      <w:pPr>
        <w:pStyle w:val="87"/>
        <w:numPr>
          <w:ilvl w:val="0"/>
          <w:numId w:val="4"/>
        </w:numPr>
        <w:overflowPunct w:val="0"/>
        <w:autoSpaceDE w:val="0"/>
        <w:autoSpaceDN w:val="0"/>
        <w:adjustRightInd w:val="0"/>
        <w:spacing w:line="252" w:lineRule="auto"/>
        <w:ind w:left="644"/>
        <w:rPr>
          <w:bCs/>
          <w:highlight w:val="none"/>
        </w:rPr>
      </w:pPr>
      <w:r>
        <w:rPr>
          <w:bCs/>
          <w:highlight w:val="none"/>
        </w:rPr>
        <w:t>Agreements</w:t>
      </w:r>
    </w:p>
    <w:p>
      <w:pPr>
        <w:pStyle w:val="87"/>
        <w:numPr>
          <w:ilvl w:val="1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bCs/>
          <w:highlight w:val="none"/>
        </w:rPr>
      </w:pPr>
      <w:r>
        <w:rPr>
          <w:highlight w:val="none"/>
        </w:rPr>
        <w:t>For LA NCR-MT</w:t>
      </w:r>
    </w:p>
    <w:p>
      <w:pPr>
        <w:pStyle w:val="87"/>
        <w:numPr>
          <w:ilvl w:val="2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bCs/>
          <w:highlight w:val="none"/>
        </w:rPr>
      </w:pPr>
      <w:r>
        <w:rPr>
          <w:highlight w:val="none"/>
        </w:rPr>
        <w:t>Define RLM/BFD/BFR requirements</w:t>
      </w:r>
    </w:p>
    <w:p>
      <w:pPr>
        <w:pStyle w:val="87"/>
        <w:numPr>
          <w:ilvl w:val="1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bCs/>
          <w:highlight w:val="none"/>
        </w:rPr>
      </w:pPr>
      <w:r>
        <w:rPr>
          <w:highlight w:val="none"/>
        </w:rPr>
        <w:t>For WA NCR-MT</w:t>
      </w:r>
    </w:p>
    <w:p>
      <w:pPr>
        <w:pStyle w:val="87"/>
        <w:numPr>
          <w:ilvl w:val="2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bCs/>
          <w:highlight w:val="none"/>
        </w:rPr>
      </w:pPr>
      <w:r>
        <w:rPr>
          <w:highlight w:val="none"/>
        </w:rPr>
        <w:t>Do not define BFD/BFR requirements</w:t>
      </w:r>
    </w:p>
    <w:p>
      <w:pPr>
        <w:pStyle w:val="87"/>
        <w:numPr>
          <w:ilvl w:val="2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bCs/>
          <w:highlight w:val="none"/>
        </w:rPr>
      </w:pPr>
      <w:r>
        <w:rPr>
          <w:bCs/>
          <w:highlight w:val="none"/>
        </w:rPr>
        <w:t>FFS for RLM requirements.</w:t>
      </w:r>
    </w:p>
    <w:p>
      <w:pPr>
        <w:pStyle w:val="87"/>
        <w:numPr>
          <w:numId w:val="0"/>
        </w:numPr>
        <w:overflowPunct w:val="0"/>
        <w:autoSpaceDE w:val="0"/>
        <w:autoSpaceDN w:val="0"/>
        <w:adjustRightInd w:val="0"/>
        <w:spacing w:after="180" w:line="252" w:lineRule="auto"/>
        <w:rPr>
          <w:bCs/>
          <w:highlight w:val="none"/>
        </w:rPr>
      </w:pPr>
    </w:p>
    <w:p>
      <w:pPr>
        <w:pStyle w:val="87"/>
        <w:numPr>
          <w:numId w:val="0"/>
        </w:numPr>
        <w:overflowPunct w:val="0"/>
        <w:autoSpaceDE w:val="0"/>
        <w:autoSpaceDN w:val="0"/>
        <w:adjustRightInd w:val="0"/>
        <w:spacing w:after="180" w:line="252" w:lineRule="auto"/>
        <w:rPr>
          <w:bCs/>
          <w:highlight w:val="none"/>
        </w:rPr>
      </w:pPr>
    </w:p>
    <w:p>
      <w:pPr>
        <w:pStyle w:val="2"/>
      </w:pPr>
      <w:r>
        <w:rPr>
          <w:rFonts w:hint="eastAsia"/>
          <w:lang w:val="en-US" w:eastAsia="zh-CN"/>
        </w:rPr>
        <w:t xml:space="preserve">Summarized agreement for the </w:t>
      </w:r>
      <w:bookmarkStart w:id="0" w:name="_GoBack"/>
      <w:bookmarkEnd w:id="0"/>
      <w:r>
        <w:rPr>
          <w:rFonts w:hint="eastAsia"/>
          <w:lang w:val="en-US" w:eastAsia="zh-CN"/>
        </w:rPr>
        <w:t xml:space="preserve">ease of readability </w:t>
      </w:r>
    </w:p>
    <w:p>
      <w:pPr>
        <w:spacing w:line="252" w:lineRule="auto"/>
        <w:rPr>
          <w:highlight w:val="none"/>
          <w:u w:val="single"/>
          <w:lang w:val="en-US"/>
        </w:rPr>
      </w:pPr>
      <w:r>
        <w:rPr>
          <w:highlight w:val="none"/>
          <w:u w:val="single"/>
          <w:lang w:val="en-US"/>
        </w:rPr>
        <w:t xml:space="preserve">Issue 1-1: RRC re-establishment </w:t>
      </w:r>
    </w:p>
    <w:p>
      <w:pPr>
        <w:pStyle w:val="87"/>
        <w:numPr>
          <w:ilvl w:val="0"/>
          <w:numId w:val="4"/>
        </w:numPr>
        <w:overflowPunct w:val="0"/>
        <w:autoSpaceDE w:val="0"/>
        <w:autoSpaceDN w:val="0"/>
        <w:adjustRightInd w:val="0"/>
        <w:spacing w:line="252" w:lineRule="auto"/>
        <w:ind w:left="644"/>
        <w:rPr>
          <w:highlight w:val="none"/>
          <w:lang w:eastAsia="ja-JP"/>
        </w:rPr>
      </w:pPr>
      <w:r>
        <w:rPr>
          <w:highlight w:val="none"/>
          <w:lang w:eastAsia="ja-JP"/>
        </w:rPr>
        <w:t>Agreements</w:t>
      </w:r>
    </w:p>
    <w:p>
      <w:pPr>
        <w:pStyle w:val="87"/>
        <w:numPr>
          <w:ilvl w:val="1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highlight w:val="none"/>
          <w:lang w:eastAsia="ja-JP"/>
        </w:rPr>
      </w:pPr>
      <w:r>
        <w:rPr>
          <w:bCs/>
          <w:highlight w:val="none"/>
        </w:rPr>
        <w:t>Define the RRC re-establishment requirement for LA NCR-MT only in Rel-18</w:t>
      </w:r>
    </w:p>
    <w:p>
      <w:pPr>
        <w:pStyle w:val="77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/>
          <w:color w:val="0070C0"/>
          <w:u w:val="single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1-2</w:t>
      </w:r>
      <w:r>
        <w:rPr>
          <w:rFonts w:ascii="Times New Roman" w:hAnsi="Times New Roman"/>
          <w:b/>
          <w:color w:val="0070C0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 xml:space="preserve"> </w:t>
      </w:r>
      <w:r>
        <w:rPr>
          <w:rFonts w:ascii="Times New Roman" w:hAnsi="Times New Roman"/>
          <w:b/>
          <w:color w:val="0070C0"/>
          <w:u w:val="single"/>
          <w:lang w:eastAsia="ko-KR"/>
        </w:rPr>
        <w:t>R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andom access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Recommendations</w:t>
      </w:r>
      <w:r>
        <w:rPr>
          <w:rFonts w:hint="eastAsia" w:eastAsiaTheme="minorEastAsia"/>
          <w:i/>
          <w:color w:val="0070C0"/>
          <w:lang w:val="en-US" w:eastAsia="zh-CN"/>
        </w:rPr>
        <w:t xml:space="preserve"> WF: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color w:val="0070C0"/>
          <w:lang w:val="en-US" w:eastAsia="zh-CN"/>
        </w:rPr>
      </w:pPr>
      <w:r>
        <w:rPr>
          <w:rFonts w:hint="eastAsia" w:eastAsiaTheme="minorEastAsia"/>
          <w:iCs/>
          <w:color w:val="0070C0"/>
          <w:lang w:val="en-US" w:eastAsia="zh-CN"/>
        </w:rPr>
        <w:t xml:space="preserve">Only define the 4 step RACH for NCR-MT. 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hint="eastAsia" w:eastAsiaTheme="minorEastAsia"/>
          <w:iCs/>
          <w:color w:val="0070C0"/>
          <w:lang w:val="en-US" w:eastAsia="zh-CN"/>
        </w:rPr>
      </w:pPr>
      <w:r>
        <w:rPr>
          <w:rFonts w:hint="eastAsia" w:eastAsiaTheme="minorEastAsia"/>
          <w:iCs/>
          <w:color w:val="0070C0"/>
          <w:lang w:val="en-US" w:eastAsia="zh-CN"/>
        </w:rPr>
        <w:t xml:space="preserve">To define 4 step rach for LA NCR-MT only and without RA requirement for WA NCR-MT. </w:t>
      </w:r>
    </w:p>
    <w:p>
      <w:pPr>
        <w:numPr>
          <w:numId w:val="0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Theme="minorEastAsia"/>
          <w:iCs/>
          <w:color w:val="0070C0"/>
          <w:lang w:val="en-US" w:eastAsia="zh-CN"/>
        </w:rPr>
      </w:pPr>
    </w:p>
    <w:p>
      <w:pPr>
        <w:spacing w:line="252" w:lineRule="auto"/>
        <w:rPr>
          <w:highlight w:val="none"/>
          <w:u w:val="single"/>
          <w:lang w:val="en-US"/>
        </w:rPr>
      </w:pPr>
      <w:r>
        <w:rPr>
          <w:highlight w:val="none"/>
          <w:u w:val="single"/>
          <w:lang w:val="en-US"/>
        </w:rPr>
        <w:t>Issue 2-1:  Initial transmit timing requirement Te</w:t>
      </w:r>
    </w:p>
    <w:p>
      <w:pPr>
        <w:pStyle w:val="87"/>
        <w:numPr>
          <w:ilvl w:val="0"/>
          <w:numId w:val="4"/>
        </w:numPr>
        <w:overflowPunct w:val="0"/>
        <w:autoSpaceDE w:val="0"/>
        <w:autoSpaceDN w:val="0"/>
        <w:adjustRightInd w:val="0"/>
        <w:spacing w:line="252" w:lineRule="auto"/>
        <w:ind w:left="644"/>
        <w:rPr>
          <w:highlight w:val="none"/>
          <w:lang w:eastAsia="ja-JP"/>
        </w:rPr>
      </w:pPr>
      <w:r>
        <w:rPr>
          <w:highlight w:val="none"/>
          <w:lang w:eastAsia="ja-JP"/>
        </w:rPr>
        <w:t>Agreements</w:t>
      </w:r>
    </w:p>
    <w:p>
      <w:pPr>
        <w:pStyle w:val="87"/>
        <w:numPr>
          <w:ilvl w:val="1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highlight w:val="none"/>
          <w:lang w:eastAsia="ja-JP"/>
        </w:rPr>
      </w:pPr>
      <w:r>
        <w:rPr>
          <w:bCs/>
          <w:highlight w:val="none"/>
        </w:rPr>
        <w:t>Define Te requirement for WA and LA NCR-MT</w:t>
      </w:r>
    </w:p>
    <w:p>
      <w:pPr>
        <w:pStyle w:val="77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/>
          <w:color w:val="0070C0"/>
          <w:u w:val="single"/>
          <w:lang w:eastAsia="ko-KR"/>
        </w:rPr>
      </w:pPr>
    </w:p>
    <w:p>
      <w:pPr>
        <w:pStyle w:val="77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/>
          <w:color w:val="0070C0"/>
          <w:u w:val="single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2-2</w:t>
      </w:r>
      <w:r>
        <w:rPr>
          <w:rFonts w:ascii="Times New Roman" w:hAnsi="Times New Roman"/>
          <w:b/>
          <w:color w:val="0070C0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 xml:space="preserve"> the gradual timing adjustment requirement Tp and Tq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Recommendations</w:t>
      </w:r>
      <w:r>
        <w:rPr>
          <w:rFonts w:hint="eastAsia" w:eastAsiaTheme="minorEastAsia"/>
          <w:i/>
          <w:color w:val="0070C0"/>
          <w:lang w:val="en-US" w:eastAsia="zh-CN"/>
        </w:rPr>
        <w:t xml:space="preserve"> WF: 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0070C0"/>
          <w:lang w:val="en-US" w:eastAsia="zh-CN"/>
        </w:rPr>
      </w:pPr>
      <w:r>
        <w:rPr>
          <w:rFonts w:hint="eastAsia" w:eastAsiaTheme="minorEastAsia"/>
          <w:iCs/>
          <w:color w:val="0070C0"/>
          <w:lang w:val="en-US" w:eastAsia="zh-CN"/>
        </w:rPr>
        <w:t>Reuse IAB-MT gradual timing adjustment requirement Tp and Tq;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color w:val="0070C0"/>
          <w:lang w:val="en-US" w:eastAsia="zh-CN"/>
        </w:rPr>
      </w:pPr>
      <w:r>
        <w:rPr>
          <w:rFonts w:hint="eastAsia" w:eastAsiaTheme="minorEastAsia"/>
          <w:iCs/>
          <w:color w:val="0070C0"/>
          <w:lang w:val="en-US" w:eastAsia="zh-CN"/>
        </w:rPr>
        <w:t>The requirement is applicable for LA NCR-MT only.</w:t>
      </w:r>
    </w:p>
    <w:p>
      <w:pPr>
        <w:pStyle w:val="87"/>
        <w:spacing w:after="120"/>
        <w:ind w:firstLine="0" w:firstLineChars="0"/>
        <w:rPr>
          <w:rFonts w:eastAsiaTheme="minorEastAsia"/>
          <w:iCs/>
          <w:color w:val="0070C0"/>
          <w:lang w:val="en-US" w:eastAsia="zh-CN"/>
        </w:rPr>
      </w:pPr>
    </w:p>
    <w:p>
      <w:pPr>
        <w:pStyle w:val="77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eastAsiaTheme="minorEastAsia"/>
          <w:iCs/>
          <w:color w:val="0070C0"/>
          <w:highlight w:val="none"/>
          <w:lang w:val="en-US" w:eastAsia="zh-CN"/>
        </w:rPr>
      </w:pP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2-3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 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the timer accuracy requirement 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hint="eastAsia" w:eastAsiaTheme="minorEastAsia"/>
          <w:i/>
          <w:color w:val="0070C0"/>
          <w:highlight w:val="none"/>
          <w:lang w:val="en-US" w:eastAsia="zh-CN"/>
        </w:rPr>
      </w:pPr>
      <w:r>
        <w:rPr>
          <w:rFonts w:hint="eastAsia" w:eastAsiaTheme="minorEastAsia"/>
          <w:i/>
          <w:color w:val="0070C0"/>
          <w:highlight w:val="none"/>
          <w:lang w:val="en-US" w:eastAsia="zh-CN"/>
        </w:rPr>
        <w:t>Agreement: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420" w:hanging="420"/>
        <w:textAlignment w:val="baseline"/>
        <w:rPr>
          <w:rFonts w:eastAsiaTheme="minorEastAsia"/>
          <w:color w:val="0070C0"/>
          <w:highlight w:val="none"/>
          <w:lang w:val="en-US" w:eastAsia="zh-CN"/>
        </w:rPr>
      </w:pPr>
      <w:r>
        <w:rPr>
          <w:rFonts w:eastAsiaTheme="minorEastAsia"/>
          <w:color w:val="0070C0"/>
          <w:highlight w:val="none"/>
          <w:lang w:val="en-US" w:eastAsia="zh-CN"/>
        </w:rPr>
        <w:t>to define timer accuracy requirement only for LA NCR-MT.</w:t>
      </w:r>
    </w:p>
    <w:p>
      <w:pPr>
        <w:pStyle w:val="87"/>
        <w:numPr>
          <w:ilvl w:val="0"/>
          <w:numId w:val="3"/>
        </w:numPr>
        <w:spacing w:after="120"/>
        <w:ind w:left="420" w:hanging="420" w:firstLineChars="0"/>
        <w:rPr>
          <w:rFonts w:eastAsiaTheme="minorEastAsia"/>
          <w:iCs/>
          <w:color w:val="0070C0"/>
          <w:highlight w:val="none"/>
          <w:lang w:val="en-US" w:eastAsia="zh-CN"/>
        </w:rPr>
      </w:pPr>
      <w:r>
        <w:rPr>
          <w:rFonts w:eastAsiaTheme="minorEastAsia"/>
          <w:color w:val="0070C0"/>
          <w:highlight w:val="none"/>
          <w:lang w:val="en-US" w:eastAsia="zh-CN"/>
        </w:rPr>
        <w:t>The requirement defined in Clause 7.2 of 38.133 can be reused.</w:t>
      </w:r>
    </w:p>
    <w:p>
      <w:pPr>
        <w:pStyle w:val="87"/>
        <w:spacing w:after="120"/>
        <w:ind w:firstLine="0" w:firstLineChars="0"/>
        <w:rPr>
          <w:rFonts w:eastAsiaTheme="minorEastAsia"/>
          <w:iCs/>
          <w:color w:val="0070C0"/>
          <w:lang w:val="en-US" w:eastAsia="zh-CN"/>
        </w:rPr>
      </w:pPr>
    </w:p>
    <w:p>
      <w:pPr>
        <w:pStyle w:val="77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/>
          <w:b/>
          <w:color w:val="0070C0"/>
          <w:u w:val="single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2-4</w:t>
      </w:r>
      <w:r>
        <w:rPr>
          <w:rFonts w:ascii="Times New Roman" w:hAnsi="Times New Roman"/>
          <w:b/>
          <w:color w:val="0070C0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 xml:space="preserve"> </w:t>
      </w: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 xml:space="preserve">TA adjustment accuracy requirement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Recommendations</w:t>
      </w:r>
      <w:r>
        <w:rPr>
          <w:rFonts w:hint="eastAsia" w:eastAsiaTheme="minorEastAsia"/>
          <w:i/>
          <w:color w:val="0070C0"/>
          <w:lang w:val="en-US" w:eastAsia="zh-CN"/>
        </w:rPr>
        <w:t xml:space="preserve"> WF: 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color w:val="0070C0"/>
          <w:lang w:val="en-US" w:eastAsia="zh-CN" w:bidi="ar"/>
        </w:rPr>
      </w:pPr>
      <w:r>
        <w:rPr>
          <w:rFonts w:hint="eastAsia" w:eastAsiaTheme="minorEastAsia"/>
          <w:iCs/>
          <w:color w:val="0070C0"/>
          <w:lang w:val="en-US" w:eastAsia="zh-CN" w:bidi="ar"/>
        </w:rPr>
        <w:t>reuse the same requirement as Rel-16 IAB-MT.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420" w:hanging="420" w:firstLineChars="0"/>
        <w:textAlignment w:val="baseline"/>
        <w:rPr>
          <w:rFonts w:eastAsiaTheme="minorEastAsia"/>
          <w:iCs/>
          <w:color w:val="0070C0"/>
          <w:highlight w:val="none"/>
          <w:lang w:val="en-US" w:eastAsia="zh-CN"/>
        </w:rPr>
      </w:pPr>
      <w:r>
        <w:rPr>
          <w:rFonts w:hint="eastAsia" w:eastAsiaTheme="minorEastAsia"/>
          <w:color w:val="0070C0"/>
          <w:highlight w:val="none"/>
          <w:lang w:val="en-US" w:eastAsia="zh-CN"/>
        </w:rPr>
        <w:t>To define the TA adjustment requirement for both WA and LA NCR-MT</w:t>
      </w:r>
    </w:p>
    <w:p>
      <w:pPr>
        <w:numPr>
          <w:numId w:val="0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Theme="minorEastAsia"/>
          <w:iCs/>
          <w:color w:val="0070C0"/>
          <w:lang w:val="en-US" w:eastAsia="zh-CN" w:bidi="ar"/>
        </w:rPr>
      </w:pPr>
    </w:p>
    <w:p>
      <w:pPr>
        <w:pStyle w:val="77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/>
          <w:b/>
          <w:color w:val="0070C0"/>
          <w:u w:val="single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3</w:t>
      </w:r>
      <w:r>
        <w:rPr>
          <w:rFonts w:ascii="Times New Roman" w:hAnsi="Times New Roman"/>
          <w:b/>
          <w:color w:val="0070C0"/>
          <w:u w:val="single"/>
          <w:lang w:eastAsia="ko-KR"/>
        </w:rPr>
        <w:t>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1</w:t>
      </w:r>
      <w:r>
        <w:rPr>
          <w:rFonts w:ascii="Times New Roman" w:hAnsi="Times New Roman"/>
          <w:b/>
          <w:color w:val="0070C0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 xml:space="preserve"> </w:t>
      </w: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 xml:space="preserve">Active BWP switching requirement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Recommendations</w:t>
      </w:r>
      <w:r>
        <w:rPr>
          <w:rFonts w:hint="eastAsia" w:eastAsiaTheme="minorEastAsia"/>
          <w:i/>
          <w:color w:val="0070C0"/>
          <w:lang w:val="en-US" w:eastAsia="zh-CN"/>
        </w:rPr>
        <w:t xml:space="preserve"> WF: 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color w:val="0070C0"/>
          <w:lang w:val="en-US" w:eastAsia="zh-CN"/>
        </w:rPr>
      </w:pPr>
      <w:r>
        <w:rPr>
          <w:rFonts w:hint="eastAsia" w:eastAsiaTheme="minorEastAsia"/>
          <w:iCs/>
          <w:color w:val="0070C0"/>
          <w:lang w:val="en-US" w:eastAsia="zh-CN"/>
        </w:rPr>
        <w:t>Not to define active BWP switching requirement for NCR-MT.</w:t>
      </w:r>
    </w:p>
    <w:p>
      <w:pPr>
        <w:pStyle w:val="87"/>
        <w:spacing w:after="120"/>
        <w:ind w:firstLine="0" w:firstLineChars="0"/>
        <w:rPr>
          <w:rFonts w:eastAsiaTheme="minorEastAsia"/>
          <w:iCs/>
          <w:color w:val="0070C0"/>
          <w:lang w:val="en-US" w:eastAsia="zh-CN"/>
        </w:rPr>
      </w:pPr>
    </w:p>
    <w:p>
      <w:pPr>
        <w:pStyle w:val="77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/>
          <w:b/>
          <w:color w:val="0070C0"/>
          <w:u w:val="single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4-1</w:t>
      </w:r>
      <w:r>
        <w:rPr>
          <w:rFonts w:ascii="Times New Roman" w:hAnsi="Times New Roman"/>
          <w:b/>
          <w:color w:val="0070C0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 xml:space="preserve"> adaptive beamforming for NCR-MT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Recommendations</w:t>
      </w:r>
      <w:r>
        <w:rPr>
          <w:rFonts w:hint="eastAsia" w:eastAsiaTheme="minorEastAsia"/>
          <w:i/>
          <w:color w:val="0070C0"/>
          <w:lang w:val="en-US" w:eastAsia="zh-CN"/>
        </w:rPr>
        <w:t xml:space="preserve"> WF: 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color w:val="0070C0"/>
          <w:lang w:val="en-US" w:eastAsia="zh-CN"/>
        </w:rPr>
      </w:pPr>
      <w:r>
        <w:rPr>
          <w:rFonts w:hint="eastAsia" w:eastAsiaTheme="minorEastAsia"/>
          <w:iCs/>
          <w:color w:val="0070C0"/>
          <w:lang w:val="en-US" w:eastAsia="zh-CN"/>
        </w:rPr>
        <w:t>Not to define the TCI switching and uplink spatial relationship switching requirement for WA NCR-MT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hint="eastAsia" w:eastAsiaTheme="minorEastAsia"/>
          <w:iCs/>
          <w:color w:val="0070C0"/>
          <w:lang w:val="en-US" w:eastAsia="ja-JP"/>
        </w:rPr>
      </w:pPr>
      <w:r>
        <w:rPr>
          <w:rFonts w:hint="eastAsia" w:eastAsiaTheme="minorEastAsia"/>
          <w:iCs/>
          <w:color w:val="0070C0"/>
          <w:lang w:val="en-US" w:eastAsia="zh-CN"/>
        </w:rPr>
        <w:t>Do not define TCI switching and uplink spatial relationship requirements for LA NCR-MT</w:t>
      </w:r>
    </w:p>
    <w:p>
      <w:pPr>
        <w:numPr>
          <w:numId w:val="0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Theme="minorEastAsia"/>
          <w:iCs/>
          <w:color w:val="0070C0"/>
          <w:lang w:val="en-US" w:eastAsia="zh-CN"/>
        </w:rPr>
      </w:pPr>
    </w:p>
    <w:p>
      <w:pPr>
        <w:rPr>
          <w:highlight w:val="none"/>
          <w:u w:val="single"/>
          <w:lang w:val="en-US"/>
        </w:rPr>
      </w:pPr>
      <w:r>
        <w:rPr>
          <w:highlight w:val="none"/>
          <w:u w:val="single"/>
          <w:lang w:val="en-US"/>
        </w:rPr>
        <w:t>Issue 4-2: adaptive beamforming for NCR access link</w:t>
      </w:r>
    </w:p>
    <w:p>
      <w:pPr>
        <w:pStyle w:val="87"/>
        <w:numPr>
          <w:ilvl w:val="0"/>
          <w:numId w:val="4"/>
        </w:numPr>
        <w:overflowPunct w:val="0"/>
        <w:autoSpaceDE w:val="0"/>
        <w:autoSpaceDN w:val="0"/>
        <w:adjustRightInd w:val="0"/>
        <w:spacing w:line="252" w:lineRule="auto"/>
        <w:ind w:left="644"/>
        <w:rPr>
          <w:highlight w:val="none"/>
          <w:lang w:eastAsia="ja-JP"/>
        </w:rPr>
      </w:pPr>
      <w:r>
        <w:rPr>
          <w:highlight w:val="none"/>
          <w:lang w:eastAsia="ja-JP"/>
        </w:rPr>
        <w:t>Agreements</w:t>
      </w:r>
    </w:p>
    <w:p>
      <w:pPr>
        <w:pStyle w:val="87"/>
        <w:numPr>
          <w:ilvl w:val="1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highlight w:val="none"/>
          <w:lang w:eastAsia="ja-JP"/>
        </w:rPr>
      </w:pPr>
      <w:r>
        <w:rPr>
          <w:rFonts w:eastAsiaTheme="minorEastAsia"/>
          <w:iCs/>
          <w:highlight w:val="none"/>
        </w:rPr>
        <w:t xml:space="preserve">FFS whether to define </w:t>
      </w:r>
      <w:r>
        <w:rPr>
          <w:highlight w:val="none"/>
        </w:rPr>
        <w:t>RRM requirement for NCR-Fwd access link for beam configuration and switching latency.</w:t>
      </w:r>
    </w:p>
    <w:p>
      <w:pPr>
        <w:numPr>
          <w:numId w:val="0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Theme="minorEastAsia"/>
          <w:iCs/>
          <w:color w:val="0070C0"/>
          <w:lang w:val="en-US" w:eastAsia="zh-CN"/>
        </w:rPr>
      </w:pPr>
    </w:p>
    <w:p>
      <w:pPr>
        <w:pStyle w:val="77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highlight w:val="none"/>
          <w:lang w:val="en-US" w:eastAsia="zh-CN"/>
        </w:rPr>
      </w:pP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4-3</w:t>
      </w:r>
      <w:r>
        <w:rPr>
          <w:rFonts w:ascii="Times New Roman" w:hAnsi="Times New Roman"/>
          <w:b/>
          <w:color w:val="0070C0"/>
          <w:highlight w:val="none"/>
          <w:u w:val="single"/>
          <w:lang w:eastAsia="ko-KR"/>
        </w:rPr>
        <w:t>:</w:t>
      </w: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 xml:space="preserve"> adaptive beamforming for NCR backhaul link</w:t>
      </w:r>
    </w:p>
    <w:p>
      <w:pPr>
        <w:pStyle w:val="87"/>
        <w:spacing w:after="120"/>
        <w:ind w:firstLine="0" w:firstLineChars="0"/>
        <w:rPr>
          <w:rFonts w:eastAsiaTheme="minorEastAsia"/>
          <w:iCs/>
          <w:color w:val="0070C0"/>
          <w:highlight w:val="none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ind w:left="420"/>
        <w:textAlignment w:val="baseline"/>
        <w:rPr>
          <w:rFonts w:hint="eastAsia" w:eastAsiaTheme="minorEastAsia"/>
          <w:i/>
          <w:color w:val="0070C0"/>
          <w:highlight w:val="none"/>
          <w:lang w:val="en-US" w:eastAsia="zh-CN"/>
        </w:rPr>
      </w:pPr>
      <w:r>
        <w:rPr>
          <w:rFonts w:hint="eastAsia" w:eastAsiaTheme="minorEastAsia"/>
          <w:i/>
          <w:color w:val="0070C0"/>
          <w:highlight w:val="none"/>
          <w:lang w:val="en-US" w:eastAsia="zh-CN"/>
        </w:rPr>
        <w:t>Agreement: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420" w:hanging="420" w:firstLineChars="0"/>
        <w:textAlignment w:val="baseline"/>
        <w:rPr>
          <w:rFonts w:hint="eastAsia" w:eastAsiaTheme="minorEastAsia"/>
          <w:iCs w:val="0"/>
          <w:color w:val="0070C0"/>
          <w:highlight w:val="none"/>
          <w:lang w:val="en-US" w:eastAsia="zh-CN"/>
        </w:rPr>
      </w:pPr>
      <w:r>
        <w:rPr>
          <w:rFonts w:hint="eastAsia" w:eastAsiaTheme="minorEastAsia"/>
          <w:iCs w:val="0"/>
          <w:color w:val="0070C0"/>
          <w:highlight w:val="none"/>
          <w:lang w:val="en-US" w:eastAsia="zh-CN"/>
        </w:rPr>
        <w:t>Not to define the RRM requirement for NCR-Fwd backhual link.</w:t>
      </w:r>
    </w:p>
    <w:p>
      <w:pPr>
        <w:numPr>
          <w:numId w:val="0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Theme="minorEastAsia"/>
          <w:iCs/>
          <w:color w:val="0070C0"/>
          <w:lang w:val="en-US" w:eastAsia="zh-CN"/>
        </w:rPr>
      </w:pPr>
    </w:p>
    <w:p>
      <w:pPr>
        <w:rPr>
          <w:highlight w:val="none"/>
          <w:u w:val="single"/>
          <w:lang w:val="en-US"/>
        </w:rPr>
      </w:pPr>
      <w:r>
        <w:rPr>
          <w:highlight w:val="none"/>
          <w:u w:val="single"/>
          <w:lang w:val="en-US"/>
        </w:rPr>
        <w:t>Issue 5-1:  BFD/BFR/RLM for NCR-MT</w:t>
      </w:r>
    </w:p>
    <w:p>
      <w:pPr>
        <w:pStyle w:val="87"/>
        <w:numPr>
          <w:ilvl w:val="0"/>
          <w:numId w:val="4"/>
        </w:numPr>
        <w:overflowPunct w:val="0"/>
        <w:autoSpaceDE w:val="0"/>
        <w:autoSpaceDN w:val="0"/>
        <w:adjustRightInd w:val="0"/>
        <w:spacing w:line="252" w:lineRule="auto"/>
        <w:ind w:left="644"/>
        <w:rPr>
          <w:bCs/>
          <w:highlight w:val="none"/>
        </w:rPr>
      </w:pPr>
      <w:r>
        <w:rPr>
          <w:bCs/>
          <w:highlight w:val="none"/>
        </w:rPr>
        <w:t>Agreements</w:t>
      </w:r>
    </w:p>
    <w:p>
      <w:pPr>
        <w:pStyle w:val="87"/>
        <w:numPr>
          <w:ilvl w:val="1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bCs/>
          <w:highlight w:val="none"/>
        </w:rPr>
      </w:pPr>
      <w:r>
        <w:rPr>
          <w:highlight w:val="none"/>
        </w:rPr>
        <w:t>For LA NCR-MT</w:t>
      </w:r>
    </w:p>
    <w:p>
      <w:pPr>
        <w:pStyle w:val="87"/>
        <w:numPr>
          <w:ilvl w:val="2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bCs/>
          <w:highlight w:val="none"/>
        </w:rPr>
      </w:pPr>
      <w:r>
        <w:rPr>
          <w:highlight w:val="none"/>
        </w:rPr>
        <w:t>Define RLM/BFD/BFR requirements</w:t>
      </w:r>
    </w:p>
    <w:p>
      <w:pPr>
        <w:pStyle w:val="87"/>
        <w:numPr>
          <w:ilvl w:val="1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bCs/>
          <w:highlight w:val="none"/>
        </w:rPr>
      </w:pPr>
      <w:r>
        <w:rPr>
          <w:highlight w:val="none"/>
        </w:rPr>
        <w:t>For WA NCR-MT</w:t>
      </w:r>
    </w:p>
    <w:p>
      <w:pPr>
        <w:pStyle w:val="87"/>
        <w:numPr>
          <w:ilvl w:val="2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bCs/>
          <w:highlight w:val="none"/>
        </w:rPr>
      </w:pPr>
      <w:r>
        <w:rPr>
          <w:highlight w:val="none"/>
        </w:rPr>
        <w:t>Do not define BFD/BFR requirements</w:t>
      </w:r>
    </w:p>
    <w:p>
      <w:pPr>
        <w:pStyle w:val="87"/>
        <w:numPr>
          <w:ilvl w:val="2"/>
          <w:numId w:val="4"/>
        </w:numPr>
        <w:overflowPunct w:val="0"/>
        <w:autoSpaceDE w:val="0"/>
        <w:autoSpaceDN w:val="0"/>
        <w:adjustRightInd w:val="0"/>
        <w:spacing w:line="252" w:lineRule="auto"/>
        <w:rPr>
          <w:bCs/>
          <w:highlight w:val="none"/>
        </w:rPr>
      </w:pPr>
      <w:r>
        <w:rPr>
          <w:bCs/>
          <w:highlight w:val="none"/>
        </w:rPr>
        <w:t>FFS for RLM requirements.</w:t>
      </w:r>
    </w:p>
    <w:p>
      <w:pPr>
        <w:pStyle w:val="77"/>
        <w:overflowPunct w:val="0"/>
        <w:autoSpaceDE w:val="0"/>
        <w:autoSpaceDN w:val="0"/>
        <w:adjustRightInd w:val="0"/>
        <w:spacing w:after="0"/>
        <w:ind w:left="100"/>
        <w:textAlignment w:val="baseline"/>
        <w:rPr>
          <w:rFonts w:ascii="Times New Roman" w:hAnsi="Times New Roman"/>
          <w:b/>
          <w:color w:val="0070C0"/>
          <w:u w:val="single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6-1:  CA/DC related RRM requirements for NCR-MT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Recommendations</w:t>
      </w:r>
      <w:r>
        <w:rPr>
          <w:rFonts w:hint="eastAsia" w:eastAsiaTheme="minorEastAsia"/>
          <w:i/>
          <w:color w:val="0070C0"/>
          <w:lang w:val="en-US" w:eastAsia="zh-CN"/>
        </w:rPr>
        <w:t xml:space="preserve"> WF: </w:t>
      </w:r>
    </w:p>
    <w:p>
      <w:pPr>
        <w:pStyle w:val="87"/>
        <w:spacing w:after="120"/>
        <w:ind w:firstLine="0" w:firstLineChars="0"/>
        <w:rPr>
          <w:rFonts w:eastAsiaTheme="minorEastAsia"/>
          <w:iCs/>
          <w:color w:val="0070C0"/>
          <w:lang w:val="en-US" w:eastAsia="zh-CN"/>
        </w:rPr>
      </w:pPr>
      <w:r>
        <w:rPr>
          <w:rFonts w:hint="eastAsia" w:eastAsiaTheme="minorEastAsia"/>
          <w:iCs/>
          <w:color w:val="0070C0"/>
          <w:lang w:val="en-US" w:eastAsia="zh-CN"/>
        </w:rPr>
        <w:t>Not to define CA/DC related RRM requirement for NCR-MT</w:t>
      </w:r>
    </w:p>
    <w:p>
      <w:pPr>
        <w:pStyle w:val="87"/>
        <w:spacing w:after="120"/>
        <w:ind w:firstLine="0" w:firstLineChars="0"/>
        <w:rPr>
          <w:rFonts w:eastAsiaTheme="minorEastAsia"/>
          <w:iCs/>
          <w:color w:val="0070C0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E4CF0F"/>
    <w:multiLevelType w:val="singleLevel"/>
    <w:tmpl w:val="CCE4CF0F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3E441E9"/>
    <w:multiLevelType w:val="singleLevel"/>
    <w:tmpl w:val="03E441E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67267C66"/>
    <w:multiLevelType w:val="multilevel"/>
    <w:tmpl w:val="67267C6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bordersDoNotSurroundHeader w:val="1"/>
  <w:bordersDoNotSurroundFooter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96D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31F4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655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38D9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940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AAD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C0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33"/>
    <w:rsid w:val="003874E4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151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1FCE"/>
    <w:rsid w:val="004C230A"/>
    <w:rsid w:val="004C2477"/>
    <w:rsid w:val="004C2680"/>
    <w:rsid w:val="004C273D"/>
    <w:rsid w:val="004C48EE"/>
    <w:rsid w:val="004C4E14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23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6D89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876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26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9C1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6E5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3CD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49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725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A93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06E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589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3E0F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483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24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873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8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D5A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172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6A9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51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6E11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1E45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552"/>
    <w:rsid w:val="00FD7A6F"/>
    <w:rsid w:val="00FD7C39"/>
    <w:rsid w:val="00FE0991"/>
    <w:rsid w:val="00FE110C"/>
    <w:rsid w:val="00FE2482"/>
    <w:rsid w:val="00FE2555"/>
    <w:rsid w:val="00FE30BF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4F57A2"/>
    <w:rsid w:val="018434C7"/>
    <w:rsid w:val="01A379F7"/>
    <w:rsid w:val="01A56FAB"/>
    <w:rsid w:val="02207A05"/>
    <w:rsid w:val="023114DC"/>
    <w:rsid w:val="029401D0"/>
    <w:rsid w:val="02977181"/>
    <w:rsid w:val="02C75875"/>
    <w:rsid w:val="033676B5"/>
    <w:rsid w:val="034A6FAF"/>
    <w:rsid w:val="0360625D"/>
    <w:rsid w:val="036A4805"/>
    <w:rsid w:val="03A23123"/>
    <w:rsid w:val="03A80371"/>
    <w:rsid w:val="040B2E26"/>
    <w:rsid w:val="04254769"/>
    <w:rsid w:val="04316B23"/>
    <w:rsid w:val="04377C2C"/>
    <w:rsid w:val="04573544"/>
    <w:rsid w:val="04A33028"/>
    <w:rsid w:val="04A8786A"/>
    <w:rsid w:val="04C21305"/>
    <w:rsid w:val="04DF4A9A"/>
    <w:rsid w:val="059237E0"/>
    <w:rsid w:val="05A029CC"/>
    <w:rsid w:val="05D52A67"/>
    <w:rsid w:val="062731F7"/>
    <w:rsid w:val="063467E5"/>
    <w:rsid w:val="065E5991"/>
    <w:rsid w:val="067D2939"/>
    <w:rsid w:val="067E7AFF"/>
    <w:rsid w:val="068B0A20"/>
    <w:rsid w:val="069A4DB8"/>
    <w:rsid w:val="06AD6DB1"/>
    <w:rsid w:val="06E67E52"/>
    <w:rsid w:val="06F90C69"/>
    <w:rsid w:val="072C24E3"/>
    <w:rsid w:val="075C7D27"/>
    <w:rsid w:val="081852B6"/>
    <w:rsid w:val="08484DE6"/>
    <w:rsid w:val="084A4093"/>
    <w:rsid w:val="084B4A5F"/>
    <w:rsid w:val="088C71C9"/>
    <w:rsid w:val="090F1D8C"/>
    <w:rsid w:val="096C5763"/>
    <w:rsid w:val="09A07B40"/>
    <w:rsid w:val="09AC4191"/>
    <w:rsid w:val="09C65402"/>
    <w:rsid w:val="0A467BD4"/>
    <w:rsid w:val="0A7A3A6F"/>
    <w:rsid w:val="0A864565"/>
    <w:rsid w:val="0A95119F"/>
    <w:rsid w:val="0AB35C28"/>
    <w:rsid w:val="0AC70E4D"/>
    <w:rsid w:val="0AEB2AFB"/>
    <w:rsid w:val="0B1B407F"/>
    <w:rsid w:val="0B1D3C61"/>
    <w:rsid w:val="0B2A42EA"/>
    <w:rsid w:val="0B861833"/>
    <w:rsid w:val="0BD30B0D"/>
    <w:rsid w:val="0C9639D1"/>
    <w:rsid w:val="0CAA6AC3"/>
    <w:rsid w:val="0D1D6012"/>
    <w:rsid w:val="0D1F5041"/>
    <w:rsid w:val="0D297B8A"/>
    <w:rsid w:val="0D6D6260"/>
    <w:rsid w:val="0D6F3147"/>
    <w:rsid w:val="0DA4580A"/>
    <w:rsid w:val="0DE67D9C"/>
    <w:rsid w:val="0E2479EF"/>
    <w:rsid w:val="0E6526D1"/>
    <w:rsid w:val="0E7C32F1"/>
    <w:rsid w:val="0E9D1F02"/>
    <w:rsid w:val="0F0E2150"/>
    <w:rsid w:val="0F302047"/>
    <w:rsid w:val="0F491372"/>
    <w:rsid w:val="0F6D5FD6"/>
    <w:rsid w:val="0F9A6DFD"/>
    <w:rsid w:val="0FC21761"/>
    <w:rsid w:val="0FC60A93"/>
    <w:rsid w:val="10370C76"/>
    <w:rsid w:val="104205C5"/>
    <w:rsid w:val="104B64B7"/>
    <w:rsid w:val="10502D2C"/>
    <w:rsid w:val="10A9549C"/>
    <w:rsid w:val="114B0315"/>
    <w:rsid w:val="114F50F0"/>
    <w:rsid w:val="11513D9D"/>
    <w:rsid w:val="11A056A8"/>
    <w:rsid w:val="11A669BC"/>
    <w:rsid w:val="11CD4B5D"/>
    <w:rsid w:val="12184B7C"/>
    <w:rsid w:val="12562F4F"/>
    <w:rsid w:val="129A4A8D"/>
    <w:rsid w:val="12A467FF"/>
    <w:rsid w:val="12E62365"/>
    <w:rsid w:val="131A32F7"/>
    <w:rsid w:val="13230798"/>
    <w:rsid w:val="13303256"/>
    <w:rsid w:val="133C24A6"/>
    <w:rsid w:val="141C5906"/>
    <w:rsid w:val="142D2518"/>
    <w:rsid w:val="14304C8C"/>
    <w:rsid w:val="14736A3C"/>
    <w:rsid w:val="14774D1A"/>
    <w:rsid w:val="148131EC"/>
    <w:rsid w:val="14E9666F"/>
    <w:rsid w:val="15147527"/>
    <w:rsid w:val="15561ECF"/>
    <w:rsid w:val="155D054E"/>
    <w:rsid w:val="15906F8D"/>
    <w:rsid w:val="15B6151F"/>
    <w:rsid w:val="15B67958"/>
    <w:rsid w:val="15CC2FF7"/>
    <w:rsid w:val="1638470C"/>
    <w:rsid w:val="1682403D"/>
    <w:rsid w:val="16B769EB"/>
    <w:rsid w:val="16EF560B"/>
    <w:rsid w:val="171E4FFA"/>
    <w:rsid w:val="17307051"/>
    <w:rsid w:val="174F626F"/>
    <w:rsid w:val="17637892"/>
    <w:rsid w:val="17794CBF"/>
    <w:rsid w:val="17D81BCA"/>
    <w:rsid w:val="17F82CEF"/>
    <w:rsid w:val="17FF39FF"/>
    <w:rsid w:val="18217321"/>
    <w:rsid w:val="18615A28"/>
    <w:rsid w:val="1886040C"/>
    <w:rsid w:val="18971F6D"/>
    <w:rsid w:val="18B25C57"/>
    <w:rsid w:val="18B451EE"/>
    <w:rsid w:val="18DF34D9"/>
    <w:rsid w:val="18E04972"/>
    <w:rsid w:val="19337DCC"/>
    <w:rsid w:val="1934677A"/>
    <w:rsid w:val="19453C57"/>
    <w:rsid w:val="196A557B"/>
    <w:rsid w:val="196B6B47"/>
    <w:rsid w:val="19D04FD4"/>
    <w:rsid w:val="1A553F51"/>
    <w:rsid w:val="1AD15F16"/>
    <w:rsid w:val="1AD2083C"/>
    <w:rsid w:val="1AEF678B"/>
    <w:rsid w:val="1B0309BE"/>
    <w:rsid w:val="1B2D79CD"/>
    <w:rsid w:val="1C067DE7"/>
    <w:rsid w:val="1C1127CD"/>
    <w:rsid w:val="1C3C3F27"/>
    <w:rsid w:val="1C681E2E"/>
    <w:rsid w:val="1C91599E"/>
    <w:rsid w:val="1C9408FD"/>
    <w:rsid w:val="1D0B6C2C"/>
    <w:rsid w:val="1D1835B6"/>
    <w:rsid w:val="1D32360A"/>
    <w:rsid w:val="1D4C1EE9"/>
    <w:rsid w:val="1D741944"/>
    <w:rsid w:val="1D940B76"/>
    <w:rsid w:val="1D9416B2"/>
    <w:rsid w:val="1E136F82"/>
    <w:rsid w:val="1E140EA0"/>
    <w:rsid w:val="1EBF2BF0"/>
    <w:rsid w:val="1EC919BF"/>
    <w:rsid w:val="1EF01166"/>
    <w:rsid w:val="1F4705C3"/>
    <w:rsid w:val="1F7138F1"/>
    <w:rsid w:val="1F9B19AE"/>
    <w:rsid w:val="1FB73AAB"/>
    <w:rsid w:val="1FF57DEB"/>
    <w:rsid w:val="20153BA1"/>
    <w:rsid w:val="202835A9"/>
    <w:rsid w:val="20501486"/>
    <w:rsid w:val="20891E56"/>
    <w:rsid w:val="211175E1"/>
    <w:rsid w:val="213F0D56"/>
    <w:rsid w:val="2148239E"/>
    <w:rsid w:val="216653B0"/>
    <w:rsid w:val="21864CB6"/>
    <w:rsid w:val="22202406"/>
    <w:rsid w:val="22956388"/>
    <w:rsid w:val="22A1313E"/>
    <w:rsid w:val="22B93021"/>
    <w:rsid w:val="232F532E"/>
    <w:rsid w:val="234931CD"/>
    <w:rsid w:val="23792988"/>
    <w:rsid w:val="238508AF"/>
    <w:rsid w:val="24931E5E"/>
    <w:rsid w:val="24A24AF3"/>
    <w:rsid w:val="24B5700C"/>
    <w:rsid w:val="24E710A5"/>
    <w:rsid w:val="24FD0C42"/>
    <w:rsid w:val="25001F1C"/>
    <w:rsid w:val="253B23BF"/>
    <w:rsid w:val="253D72C9"/>
    <w:rsid w:val="256C6BAD"/>
    <w:rsid w:val="25BB2ED5"/>
    <w:rsid w:val="25E124ED"/>
    <w:rsid w:val="25F5608D"/>
    <w:rsid w:val="262A0FC5"/>
    <w:rsid w:val="2660177B"/>
    <w:rsid w:val="267E0B13"/>
    <w:rsid w:val="26D40E72"/>
    <w:rsid w:val="26D57D83"/>
    <w:rsid w:val="27542B52"/>
    <w:rsid w:val="275814A9"/>
    <w:rsid w:val="2758282F"/>
    <w:rsid w:val="2759520B"/>
    <w:rsid w:val="28031259"/>
    <w:rsid w:val="28151B92"/>
    <w:rsid w:val="28C74028"/>
    <w:rsid w:val="28DD0F12"/>
    <w:rsid w:val="297319B3"/>
    <w:rsid w:val="29782064"/>
    <w:rsid w:val="2979639C"/>
    <w:rsid w:val="29850FFF"/>
    <w:rsid w:val="29985AE4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D10023"/>
    <w:rsid w:val="2BF5313F"/>
    <w:rsid w:val="2C4E0F14"/>
    <w:rsid w:val="2C660BAD"/>
    <w:rsid w:val="2C946D45"/>
    <w:rsid w:val="2CD7184A"/>
    <w:rsid w:val="2CD927BC"/>
    <w:rsid w:val="2D5F6EE1"/>
    <w:rsid w:val="2DD85514"/>
    <w:rsid w:val="2DF841EB"/>
    <w:rsid w:val="2E2339D3"/>
    <w:rsid w:val="2E46730F"/>
    <w:rsid w:val="2E5C466B"/>
    <w:rsid w:val="2E643F62"/>
    <w:rsid w:val="2EB86A5A"/>
    <w:rsid w:val="2F8B1999"/>
    <w:rsid w:val="2F95455C"/>
    <w:rsid w:val="302442D9"/>
    <w:rsid w:val="30341E6A"/>
    <w:rsid w:val="303460F0"/>
    <w:rsid w:val="305808D2"/>
    <w:rsid w:val="30624D6B"/>
    <w:rsid w:val="307E7C08"/>
    <w:rsid w:val="309D49F8"/>
    <w:rsid w:val="30B04189"/>
    <w:rsid w:val="30C72E79"/>
    <w:rsid w:val="310E26EB"/>
    <w:rsid w:val="316C3873"/>
    <w:rsid w:val="31AE0F7B"/>
    <w:rsid w:val="32521B22"/>
    <w:rsid w:val="325A7A5D"/>
    <w:rsid w:val="32D73973"/>
    <w:rsid w:val="32E41A9D"/>
    <w:rsid w:val="32F644CA"/>
    <w:rsid w:val="33024B42"/>
    <w:rsid w:val="331731F7"/>
    <w:rsid w:val="337C596E"/>
    <w:rsid w:val="341155DE"/>
    <w:rsid w:val="34166F07"/>
    <w:rsid w:val="34211DC3"/>
    <w:rsid w:val="342A7E04"/>
    <w:rsid w:val="34457C7B"/>
    <w:rsid w:val="34562BD9"/>
    <w:rsid w:val="34853059"/>
    <w:rsid w:val="349011AD"/>
    <w:rsid w:val="34B7420A"/>
    <w:rsid w:val="34E838FF"/>
    <w:rsid w:val="35012C3B"/>
    <w:rsid w:val="359927A7"/>
    <w:rsid w:val="35CE36F4"/>
    <w:rsid w:val="36425C10"/>
    <w:rsid w:val="36545850"/>
    <w:rsid w:val="365509D9"/>
    <w:rsid w:val="36D929B3"/>
    <w:rsid w:val="36E376B5"/>
    <w:rsid w:val="372825BF"/>
    <w:rsid w:val="374851A2"/>
    <w:rsid w:val="37547BED"/>
    <w:rsid w:val="37A56745"/>
    <w:rsid w:val="37CB439B"/>
    <w:rsid w:val="380106D8"/>
    <w:rsid w:val="38114253"/>
    <w:rsid w:val="38201F58"/>
    <w:rsid w:val="382372A5"/>
    <w:rsid w:val="38524008"/>
    <w:rsid w:val="389C7CF6"/>
    <w:rsid w:val="38B516B5"/>
    <w:rsid w:val="38E40EC7"/>
    <w:rsid w:val="38E46EE6"/>
    <w:rsid w:val="390B779D"/>
    <w:rsid w:val="392A2EEE"/>
    <w:rsid w:val="397B2105"/>
    <w:rsid w:val="39992131"/>
    <w:rsid w:val="399D0C47"/>
    <w:rsid w:val="39F76E63"/>
    <w:rsid w:val="3A141F6C"/>
    <w:rsid w:val="3A165225"/>
    <w:rsid w:val="3A1F77D2"/>
    <w:rsid w:val="3A3A37F9"/>
    <w:rsid w:val="3A7C2502"/>
    <w:rsid w:val="3A875FDF"/>
    <w:rsid w:val="3A9A0CB1"/>
    <w:rsid w:val="3AA052FB"/>
    <w:rsid w:val="3B0F4575"/>
    <w:rsid w:val="3B1B1073"/>
    <w:rsid w:val="3B375142"/>
    <w:rsid w:val="3B447DC6"/>
    <w:rsid w:val="3BA50EFF"/>
    <w:rsid w:val="3BEC12F8"/>
    <w:rsid w:val="3C3571D4"/>
    <w:rsid w:val="3C7D3028"/>
    <w:rsid w:val="3C916A88"/>
    <w:rsid w:val="3CA95CFB"/>
    <w:rsid w:val="3CCF6E23"/>
    <w:rsid w:val="3D2C3BFB"/>
    <w:rsid w:val="3D604A2D"/>
    <w:rsid w:val="3D636270"/>
    <w:rsid w:val="3D895406"/>
    <w:rsid w:val="3D946AC2"/>
    <w:rsid w:val="3DD526CA"/>
    <w:rsid w:val="3E217D33"/>
    <w:rsid w:val="3E4003D1"/>
    <w:rsid w:val="3E6574CD"/>
    <w:rsid w:val="3F3A5985"/>
    <w:rsid w:val="3F483164"/>
    <w:rsid w:val="3F5B2C54"/>
    <w:rsid w:val="401B2443"/>
    <w:rsid w:val="408C5231"/>
    <w:rsid w:val="40E84832"/>
    <w:rsid w:val="410913DA"/>
    <w:rsid w:val="41542A12"/>
    <w:rsid w:val="41940949"/>
    <w:rsid w:val="41A85070"/>
    <w:rsid w:val="41CB7CA6"/>
    <w:rsid w:val="41D506BB"/>
    <w:rsid w:val="41EF7F1F"/>
    <w:rsid w:val="423C4AAA"/>
    <w:rsid w:val="42A024FB"/>
    <w:rsid w:val="42AB5722"/>
    <w:rsid w:val="42D55508"/>
    <w:rsid w:val="42DC39FA"/>
    <w:rsid w:val="43205793"/>
    <w:rsid w:val="4321075F"/>
    <w:rsid w:val="4335357A"/>
    <w:rsid w:val="43D47DA0"/>
    <w:rsid w:val="43F438D8"/>
    <w:rsid w:val="44302DF3"/>
    <w:rsid w:val="447D0C67"/>
    <w:rsid w:val="44B40D3D"/>
    <w:rsid w:val="450B6A79"/>
    <w:rsid w:val="453B25F9"/>
    <w:rsid w:val="45B17F93"/>
    <w:rsid w:val="45BA4464"/>
    <w:rsid w:val="45DA3853"/>
    <w:rsid w:val="45FA07D0"/>
    <w:rsid w:val="46242613"/>
    <w:rsid w:val="467D52CE"/>
    <w:rsid w:val="46917266"/>
    <w:rsid w:val="46A95BF4"/>
    <w:rsid w:val="47082F49"/>
    <w:rsid w:val="47AA2DD2"/>
    <w:rsid w:val="47C81885"/>
    <w:rsid w:val="480238E5"/>
    <w:rsid w:val="48297809"/>
    <w:rsid w:val="482E5EC0"/>
    <w:rsid w:val="486A7EDB"/>
    <w:rsid w:val="48873377"/>
    <w:rsid w:val="48FE69A5"/>
    <w:rsid w:val="49235152"/>
    <w:rsid w:val="4930333B"/>
    <w:rsid w:val="49570114"/>
    <w:rsid w:val="49724F29"/>
    <w:rsid w:val="49934D61"/>
    <w:rsid w:val="4A7172F6"/>
    <w:rsid w:val="4A8759B4"/>
    <w:rsid w:val="4B085909"/>
    <w:rsid w:val="4B991985"/>
    <w:rsid w:val="4B9C56DF"/>
    <w:rsid w:val="4BB12379"/>
    <w:rsid w:val="4BF837D2"/>
    <w:rsid w:val="4C401BFB"/>
    <w:rsid w:val="4C470E37"/>
    <w:rsid w:val="4CB04572"/>
    <w:rsid w:val="4CC40142"/>
    <w:rsid w:val="4CEA793E"/>
    <w:rsid w:val="4D0B415B"/>
    <w:rsid w:val="4D2A786F"/>
    <w:rsid w:val="4D384C5E"/>
    <w:rsid w:val="4D3A3368"/>
    <w:rsid w:val="4D661BD9"/>
    <w:rsid w:val="4D710FD3"/>
    <w:rsid w:val="4DCD2113"/>
    <w:rsid w:val="4DF23AA7"/>
    <w:rsid w:val="4E0706ED"/>
    <w:rsid w:val="4E0B7D64"/>
    <w:rsid w:val="4E3C6CFA"/>
    <w:rsid w:val="4EB57F2A"/>
    <w:rsid w:val="4F441E2A"/>
    <w:rsid w:val="4F4C641E"/>
    <w:rsid w:val="4F545121"/>
    <w:rsid w:val="4F742231"/>
    <w:rsid w:val="4F85712F"/>
    <w:rsid w:val="4F9B779E"/>
    <w:rsid w:val="4FA10E05"/>
    <w:rsid w:val="50121FCC"/>
    <w:rsid w:val="5037224D"/>
    <w:rsid w:val="50912F82"/>
    <w:rsid w:val="50C962CB"/>
    <w:rsid w:val="50D40D95"/>
    <w:rsid w:val="51091670"/>
    <w:rsid w:val="5140604B"/>
    <w:rsid w:val="51832F88"/>
    <w:rsid w:val="518F5CDD"/>
    <w:rsid w:val="51F10BDA"/>
    <w:rsid w:val="521238CB"/>
    <w:rsid w:val="52A60C1E"/>
    <w:rsid w:val="53517A6B"/>
    <w:rsid w:val="53956DC5"/>
    <w:rsid w:val="53A03BFA"/>
    <w:rsid w:val="53A52556"/>
    <w:rsid w:val="53A96824"/>
    <w:rsid w:val="543B0A67"/>
    <w:rsid w:val="54A605D4"/>
    <w:rsid w:val="54D6764B"/>
    <w:rsid w:val="54F01EEF"/>
    <w:rsid w:val="55163E5B"/>
    <w:rsid w:val="55387FCD"/>
    <w:rsid w:val="555966F0"/>
    <w:rsid w:val="55940B01"/>
    <w:rsid w:val="55BF6693"/>
    <w:rsid w:val="562B6CEE"/>
    <w:rsid w:val="568E6375"/>
    <w:rsid w:val="56946A39"/>
    <w:rsid w:val="56BC1ECE"/>
    <w:rsid w:val="571269E1"/>
    <w:rsid w:val="57130481"/>
    <w:rsid w:val="57300C98"/>
    <w:rsid w:val="57431A44"/>
    <w:rsid w:val="5751351F"/>
    <w:rsid w:val="57F81E57"/>
    <w:rsid w:val="5842539F"/>
    <w:rsid w:val="58505756"/>
    <w:rsid w:val="5895248C"/>
    <w:rsid w:val="58A70901"/>
    <w:rsid w:val="58E27CE2"/>
    <w:rsid w:val="58EF1764"/>
    <w:rsid w:val="599A3124"/>
    <w:rsid w:val="59C50A90"/>
    <w:rsid w:val="59DE7EC2"/>
    <w:rsid w:val="5A081611"/>
    <w:rsid w:val="5A7B667C"/>
    <w:rsid w:val="5A7D256E"/>
    <w:rsid w:val="5A9C15E1"/>
    <w:rsid w:val="5AB318EC"/>
    <w:rsid w:val="5B412EC5"/>
    <w:rsid w:val="5B446EDF"/>
    <w:rsid w:val="5B460263"/>
    <w:rsid w:val="5B4756A4"/>
    <w:rsid w:val="5B9D53D8"/>
    <w:rsid w:val="5BA306B6"/>
    <w:rsid w:val="5C33734F"/>
    <w:rsid w:val="5C5A50A9"/>
    <w:rsid w:val="5CA21F53"/>
    <w:rsid w:val="5D166FA1"/>
    <w:rsid w:val="5D64614D"/>
    <w:rsid w:val="5D6F0A1C"/>
    <w:rsid w:val="5D765ADA"/>
    <w:rsid w:val="5D8133CA"/>
    <w:rsid w:val="5E1F55B2"/>
    <w:rsid w:val="5EB05FB0"/>
    <w:rsid w:val="5ED955F8"/>
    <w:rsid w:val="5F317902"/>
    <w:rsid w:val="5F645C40"/>
    <w:rsid w:val="5F880C20"/>
    <w:rsid w:val="5F952EAD"/>
    <w:rsid w:val="6018714A"/>
    <w:rsid w:val="60627D00"/>
    <w:rsid w:val="6077058D"/>
    <w:rsid w:val="608D1FBB"/>
    <w:rsid w:val="608E748D"/>
    <w:rsid w:val="60D661AE"/>
    <w:rsid w:val="60F21A44"/>
    <w:rsid w:val="614B0980"/>
    <w:rsid w:val="61B665C4"/>
    <w:rsid w:val="61F5668D"/>
    <w:rsid w:val="62126D0E"/>
    <w:rsid w:val="624108BA"/>
    <w:rsid w:val="62F31145"/>
    <w:rsid w:val="63A709CE"/>
    <w:rsid w:val="63AC0B80"/>
    <w:rsid w:val="64097ADA"/>
    <w:rsid w:val="640D4579"/>
    <w:rsid w:val="641A6450"/>
    <w:rsid w:val="641E03D0"/>
    <w:rsid w:val="645A59DA"/>
    <w:rsid w:val="64F1679F"/>
    <w:rsid w:val="6535386A"/>
    <w:rsid w:val="656E1EA5"/>
    <w:rsid w:val="664E69A6"/>
    <w:rsid w:val="66741821"/>
    <w:rsid w:val="66793232"/>
    <w:rsid w:val="66A41C30"/>
    <w:rsid w:val="672107F2"/>
    <w:rsid w:val="67BC160E"/>
    <w:rsid w:val="67D25888"/>
    <w:rsid w:val="67E003A2"/>
    <w:rsid w:val="68373100"/>
    <w:rsid w:val="68934EB5"/>
    <w:rsid w:val="68960123"/>
    <w:rsid w:val="68985CF0"/>
    <w:rsid w:val="68CD05A2"/>
    <w:rsid w:val="691E11BC"/>
    <w:rsid w:val="692C67D9"/>
    <w:rsid w:val="69356F95"/>
    <w:rsid w:val="695031C6"/>
    <w:rsid w:val="69917BED"/>
    <w:rsid w:val="69A57B59"/>
    <w:rsid w:val="69B87445"/>
    <w:rsid w:val="69C9758E"/>
    <w:rsid w:val="69EF54FA"/>
    <w:rsid w:val="6A287DED"/>
    <w:rsid w:val="6A841B52"/>
    <w:rsid w:val="6A872892"/>
    <w:rsid w:val="6AC64296"/>
    <w:rsid w:val="6AD74E39"/>
    <w:rsid w:val="6B0040B0"/>
    <w:rsid w:val="6B1113EA"/>
    <w:rsid w:val="6B291AC2"/>
    <w:rsid w:val="6B771B7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8E54B6"/>
    <w:rsid w:val="6DBB2DC6"/>
    <w:rsid w:val="6E201B68"/>
    <w:rsid w:val="6E675472"/>
    <w:rsid w:val="6E7B4B6C"/>
    <w:rsid w:val="6EB76CFC"/>
    <w:rsid w:val="6EBA4107"/>
    <w:rsid w:val="6ECD588F"/>
    <w:rsid w:val="6EE026D4"/>
    <w:rsid w:val="6F0A3EB4"/>
    <w:rsid w:val="6F0C129D"/>
    <w:rsid w:val="6F21030C"/>
    <w:rsid w:val="6F8D2E83"/>
    <w:rsid w:val="6F986CD8"/>
    <w:rsid w:val="6F9F7359"/>
    <w:rsid w:val="6FCF0067"/>
    <w:rsid w:val="70025C90"/>
    <w:rsid w:val="70326F3D"/>
    <w:rsid w:val="704903B8"/>
    <w:rsid w:val="70B025A7"/>
    <w:rsid w:val="70C608BE"/>
    <w:rsid w:val="70CC14B7"/>
    <w:rsid w:val="70E529B8"/>
    <w:rsid w:val="712F05F8"/>
    <w:rsid w:val="71503782"/>
    <w:rsid w:val="7159098D"/>
    <w:rsid w:val="71652EE0"/>
    <w:rsid w:val="71996A62"/>
    <w:rsid w:val="71C550FA"/>
    <w:rsid w:val="71FA68F4"/>
    <w:rsid w:val="72395936"/>
    <w:rsid w:val="72746F41"/>
    <w:rsid w:val="72DC6BEC"/>
    <w:rsid w:val="730D3329"/>
    <w:rsid w:val="731B117A"/>
    <w:rsid w:val="733A2A28"/>
    <w:rsid w:val="74453431"/>
    <w:rsid w:val="74600BBC"/>
    <w:rsid w:val="7480655E"/>
    <w:rsid w:val="74B963D7"/>
    <w:rsid w:val="74BA0241"/>
    <w:rsid w:val="74E96256"/>
    <w:rsid w:val="74F875E4"/>
    <w:rsid w:val="75532172"/>
    <w:rsid w:val="755F16FD"/>
    <w:rsid w:val="756537CF"/>
    <w:rsid w:val="756C3574"/>
    <w:rsid w:val="75A04E0F"/>
    <w:rsid w:val="75BD0535"/>
    <w:rsid w:val="75E26875"/>
    <w:rsid w:val="760D3446"/>
    <w:rsid w:val="76237E13"/>
    <w:rsid w:val="763C35C2"/>
    <w:rsid w:val="76816645"/>
    <w:rsid w:val="76843750"/>
    <w:rsid w:val="76913F70"/>
    <w:rsid w:val="7697287F"/>
    <w:rsid w:val="769C6AD1"/>
    <w:rsid w:val="76C41143"/>
    <w:rsid w:val="771C1592"/>
    <w:rsid w:val="774F4848"/>
    <w:rsid w:val="778575B4"/>
    <w:rsid w:val="7797669F"/>
    <w:rsid w:val="77C07083"/>
    <w:rsid w:val="77D671B1"/>
    <w:rsid w:val="77EE7694"/>
    <w:rsid w:val="781900CE"/>
    <w:rsid w:val="784A24C1"/>
    <w:rsid w:val="7867307F"/>
    <w:rsid w:val="78881741"/>
    <w:rsid w:val="78A70FCA"/>
    <w:rsid w:val="78BD65FB"/>
    <w:rsid w:val="78C90760"/>
    <w:rsid w:val="78D93A8B"/>
    <w:rsid w:val="79261FD4"/>
    <w:rsid w:val="79272D7A"/>
    <w:rsid w:val="79635F91"/>
    <w:rsid w:val="796631F3"/>
    <w:rsid w:val="79C97DAC"/>
    <w:rsid w:val="79EF3A9F"/>
    <w:rsid w:val="7A0B60B0"/>
    <w:rsid w:val="7A4F45D9"/>
    <w:rsid w:val="7A515AE3"/>
    <w:rsid w:val="7A634335"/>
    <w:rsid w:val="7A7B737F"/>
    <w:rsid w:val="7A9A10AC"/>
    <w:rsid w:val="7A9A1912"/>
    <w:rsid w:val="7AB358CA"/>
    <w:rsid w:val="7AC85B9A"/>
    <w:rsid w:val="7B154E9F"/>
    <w:rsid w:val="7B7F6994"/>
    <w:rsid w:val="7B9E0993"/>
    <w:rsid w:val="7BF12B0C"/>
    <w:rsid w:val="7C070D8B"/>
    <w:rsid w:val="7C1B749B"/>
    <w:rsid w:val="7C294ED3"/>
    <w:rsid w:val="7C4D0065"/>
    <w:rsid w:val="7C563D48"/>
    <w:rsid w:val="7C915B97"/>
    <w:rsid w:val="7CF746F0"/>
    <w:rsid w:val="7D190D9F"/>
    <w:rsid w:val="7D417001"/>
    <w:rsid w:val="7D7A6B81"/>
    <w:rsid w:val="7D8037CA"/>
    <w:rsid w:val="7E122E21"/>
    <w:rsid w:val="7E592FC9"/>
    <w:rsid w:val="7E5C3A73"/>
    <w:rsid w:val="7E6D5667"/>
    <w:rsid w:val="7EDE6FA8"/>
    <w:rsid w:val="7EDF6B91"/>
    <w:rsid w:val="7EFE6536"/>
    <w:rsid w:val="7F4D0A32"/>
    <w:rsid w:val="7F651FC5"/>
    <w:rsid w:val="7F9D3C46"/>
    <w:rsid w:val="7FD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9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  <w:style w:type="table" w:customStyle="1" w:styleId="160">
    <w:name w:val="Table Grid2"/>
    <w:basedOn w:val="49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2C941A-E0E2-49B2-AE14-A71704B58BAF}">
  <ds:schemaRefs/>
</ds:datastoreItem>
</file>

<file path=customXml/itemProps3.xml><?xml version="1.0" encoding="utf-8"?>
<ds:datastoreItem xmlns:ds="http://schemas.openxmlformats.org/officeDocument/2006/customXml" ds:itemID="{E32390C5-A3DD-4E73-BAA6-FFCF50F070B3}">
  <ds:schemaRefs/>
</ds:datastoreItem>
</file>

<file path=customXml/itemProps4.xml><?xml version="1.0" encoding="utf-8"?>
<ds:datastoreItem xmlns:ds="http://schemas.openxmlformats.org/officeDocument/2006/customXml" ds:itemID="{0C51F8B9-6FDA-4EF6-B1BE-F2CC816324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4</Pages>
  <Words>1122</Words>
  <Characters>6401</Characters>
  <Lines>53</Lines>
  <Paragraphs>15</Paragraphs>
  <TotalTime>1</TotalTime>
  <ScaleCrop>false</ScaleCrop>
  <LinksUpToDate>false</LinksUpToDate>
  <CharactersWithSpaces>7508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2023-04-24T05:15:00Z</dcterms:created>
  <dc:creator>Dai Xizeng</dc:creator>
  <cp:lastModifiedBy>ZTE,Fei Xue</cp:lastModifiedBy>
  <dcterms:modified xsi:type="dcterms:W3CDTF">2023-04-25T17:10:16Z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